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F5607" w14:textId="7992B5AA" w:rsidR="009A4B05" w:rsidRDefault="00F7050E" w:rsidP="00A079A4">
      <w:pPr>
        <w:spacing w:after="0" w:line="240" w:lineRule="auto"/>
        <w:jc w:val="center"/>
        <w:rPr>
          <w:rFonts w:ascii="Bookman Old Style" w:hAnsi="Bookman Old Style"/>
          <w:b/>
          <w:bCs/>
          <w:sz w:val="28"/>
          <w:szCs w:val="28"/>
        </w:rPr>
      </w:pPr>
      <w:r>
        <w:rPr>
          <w:rFonts w:ascii="Bookman Old Style" w:hAnsi="Bookman Old Style"/>
          <w:b/>
          <w:bCs/>
          <w:sz w:val="28"/>
          <w:szCs w:val="28"/>
        </w:rPr>
        <w:t xml:space="preserve">KONSEP </w:t>
      </w:r>
      <w:r w:rsidR="009A4B05" w:rsidRPr="00CB538A">
        <w:rPr>
          <w:rFonts w:ascii="Bookman Old Style" w:hAnsi="Bookman Old Style"/>
          <w:b/>
          <w:bCs/>
          <w:sz w:val="28"/>
          <w:szCs w:val="28"/>
        </w:rPr>
        <w:t>PERBUATAN MELAWAN HUKUM PERSPEKTIF HUKUM EKONOMI SYARIAH</w:t>
      </w:r>
    </w:p>
    <w:p w14:paraId="058F5BD0" w14:textId="67C1F228" w:rsidR="00CB538A" w:rsidRDefault="00CB538A" w:rsidP="009A4B05">
      <w:pPr>
        <w:spacing w:after="0" w:line="240" w:lineRule="auto"/>
        <w:jc w:val="both"/>
        <w:rPr>
          <w:rFonts w:ascii="Bookman Old Style" w:hAnsi="Bookman Old Style"/>
          <w:b/>
          <w:bCs/>
          <w:sz w:val="28"/>
          <w:szCs w:val="28"/>
        </w:rPr>
      </w:pPr>
    </w:p>
    <w:p w14:paraId="1673E032" w14:textId="0FEBE02E" w:rsidR="00CB538A" w:rsidRDefault="00CB538A" w:rsidP="00CB538A">
      <w:pPr>
        <w:spacing w:after="0" w:line="240" w:lineRule="auto"/>
        <w:jc w:val="center"/>
        <w:rPr>
          <w:rFonts w:ascii="Bookman Old Style" w:hAnsi="Bookman Old Style"/>
          <w:b/>
          <w:bCs/>
        </w:rPr>
      </w:pPr>
      <w:r>
        <w:rPr>
          <w:rFonts w:ascii="Bookman Old Style" w:hAnsi="Bookman Old Style"/>
          <w:b/>
          <w:bCs/>
        </w:rPr>
        <w:t>Panji Adam Agus Putra</w:t>
      </w:r>
    </w:p>
    <w:p w14:paraId="6703F9D5" w14:textId="56CD925F" w:rsidR="00CB538A" w:rsidRDefault="00CB538A" w:rsidP="00CB538A">
      <w:pPr>
        <w:spacing w:after="0" w:line="240" w:lineRule="auto"/>
        <w:jc w:val="center"/>
        <w:rPr>
          <w:rFonts w:ascii="Bookman Old Style" w:hAnsi="Bookman Old Style"/>
        </w:rPr>
      </w:pPr>
      <w:r>
        <w:rPr>
          <w:rFonts w:ascii="Bookman Old Style" w:hAnsi="Bookman Old Style"/>
        </w:rPr>
        <w:t>Fakultas Syariah Universitas Islam Bandung</w:t>
      </w:r>
    </w:p>
    <w:p w14:paraId="27752A05" w14:textId="558EBEBB" w:rsidR="00CB538A" w:rsidRDefault="00DF09C1" w:rsidP="00CB538A">
      <w:pPr>
        <w:spacing w:after="0" w:line="240" w:lineRule="auto"/>
        <w:jc w:val="center"/>
        <w:rPr>
          <w:rFonts w:ascii="Bookman Old Style" w:hAnsi="Bookman Old Style"/>
        </w:rPr>
      </w:pPr>
      <w:hyperlink r:id="rId8" w:history="1">
        <w:r w:rsidR="007B3038" w:rsidRPr="0074340D">
          <w:rPr>
            <w:rStyle w:val="Hyperlink"/>
            <w:rFonts w:ascii="Bookman Old Style" w:hAnsi="Bookman Old Style"/>
          </w:rPr>
          <w:t>panjiadam06@gmail.com</w:t>
        </w:r>
      </w:hyperlink>
      <w:r w:rsidR="00CB538A">
        <w:rPr>
          <w:rFonts w:ascii="Bookman Old Style" w:hAnsi="Bookman Old Style"/>
        </w:rPr>
        <w:t xml:space="preserve"> </w:t>
      </w:r>
    </w:p>
    <w:p w14:paraId="6037EA1E" w14:textId="5C1D6719" w:rsidR="007B3038" w:rsidRDefault="007B3038" w:rsidP="00CB538A">
      <w:pPr>
        <w:spacing w:after="0" w:line="240" w:lineRule="auto"/>
        <w:jc w:val="center"/>
        <w:rPr>
          <w:rFonts w:ascii="Bookman Old Style" w:hAnsi="Bookman Old Style"/>
        </w:rPr>
      </w:pPr>
    </w:p>
    <w:p w14:paraId="6F0920FE" w14:textId="573EA137" w:rsidR="007B3038" w:rsidRPr="00CB538A" w:rsidRDefault="007B3038" w:rsidP="00CB538A">
      <w:pPr>
        <w:spacing w:after="0" w:line="240" w:lineRule="auto"/>
        <w:jc w:val="center"/>
        <w:rPr>
          <w:rFonts w:ascii="Bookman Old Style" w:hAnsi="Bookman Old Style"/>
        </w:rPr>
      </w:pPr>
      <w:r>
        <w:rPr>
          <w:rFonts w:ascii="Bookman Old Style" w:hAnsi="Bookman Old Style"/>
        </w:rPr>
        <w:t xml:space="preserve">Abstrak </w:t>
      </w:r>
    </w:p>
    <w:p w14:paraId="3E91ECF3" w14:textId="7DE5D37D" w:rsidR="00CB538A" w:rsidRDefault="002C66F2" w:rsidP="002C66F2">
      <w:pPr>
        <w:spacing w:after="0" w:line="240" w:lineRule="auto"/>
        <w:jc w:val="both"/>
        <w:rPr>
          <w:rFonts w:ascii="Bookman Old Style" w:hAnsi="Bookman Old Style"/>
        </w:rPr>
      </w:pPr>
      <w:r w:rsidRPr="002C66F2">
        <w:rPr>
          <w:rFonts w:ascii="Bookman Old Style" w:hAnsi="Bookman Old Style"/>
        </w:rPr>
        <w:t xml:space="preserve">Tujuan penelitian ini untuk mengetahui konsep perbuatan melawan hukum dalam hukum ekonomi syariah serta implikasi pertanggujawaban hukum akibat perbuatan hukum dalam perspektif hukum ekonomi syariah. </w:t>
      </w:r>
      <w:r w:rsidRPr="002C66F2">
        <w:rPr>
          <w:rFonts w:ascii="Bookman Old Style" w:hAnsi="Bookman Old Style" w:cs="Times New Roman"/>
        </w:rPr>
        <w:t>Metode penelitian yang dilakukan berdasarkan pendekatan secara yuridis normatif, Spesifikasi penelitian yang digunakan adalah deskriptif analitis, Jenis data yang dipergunakan dalam peneitian ini, yaitu data sekunder,</w:t>
      </w:r>
      <w:r w:rsidRPr="002C66F2">
        <w:rPr>
          <w:rFonts w:ascii="Bookman Old Style" w:hAnsi="Bookman Old Style" w:cs="Times New Roman"/>
          <w:bCs/>
        </w:rPr>
        <w:t xml:space="preserve"> metode pengumpulan data yang dipergunakan adalah studi kepustakaan dan </w:t>
      </w:r>
      <w:r w:rsidRPr="002C66F2">
        <w:rPr>
          <w:rFonts w:ascii="Bookman Old Style" w:hAnsi="Bookman Old Style" w:cs="Times New Roman"/>
        </w:rPr>
        <w:t>Analisis terhadap data sekunder yang bersifat kualitatif.</w:t>
      </w:r>
      <w:r>
        <w:rPr>
          <w:rFonts w:ascii="Bookman Old Style" w:hAnsi="Bookman Old Style" w:cs="Times New Roman"/>
        </w:rPr>
        <w:t xml:space="preserve"> Hasil penelitian menunjukan, </w:t>
      </w:r>
      <w:r>
        <w:rPr>
          <w:rFonts w:ascii="Bookman Old Style" w:hAnsi="Bookman Old Style" w:cs="Times New Roman"/>
          <w:i/>
          <w:iCs/>
        </w:rPr>
        <w:t>pertama</w:t>
      </w:r>
      <w:r w:rsidR="00432740">
        <w:rPr>
          <w:rFonts w:ascii="Bookman Old Style" w:hAnsi="Bookman Old Style" w:cs="Times New Roman"/>
          <w:i/>
          <w:iCs/>
        </w:rPr>
        <w:t xml:space="preserve">, </w:t>
      </w:r>
      <w:r w:rsidR="00432740">
        <w:rPr>
          <w:rFonts w:ascii="Bookman Old Style" w:hAnsi="Bookman Old Style" w:cs="Times New Roman"/>
        </w:rPr>
        <w:t xml:space="preserve">istilah perbuatan melawan hukum dalam hukum ekonomi syariah disebut dengan </w:t>
      </w:r>
      <w:r w:rsidR="00432740">
        <w:rPr>
          <w:rFonts w:ascii="Bookman Old Style" w:hAnsi="Bookman Old Style" w:cs="Times New Roman"/>
          <w:i/>
          <w:iCs/>
        </w:rPr>
        <w:t>fi’l al-dharâr</w:t>
      </w:r>
      <w:r w:rsidR="00432740">
        <w:rPr>
          <w:rFonts w:ascii="Bookman Old Style" w:hAnsi="Bookman Old Style" w:cs="Times New Roman"/>
        </w:rPr>
        <w:t xml:space="preserve">, </w:t>
      </w:r>
      <w:r w:rsidR="00432740" w:rsidRPr="007F3046">
        <w:rPr>
          <w:rFonts w:ascii="Bookman Old Style" w:hAnsi="Bookman Old Style"/>
        </w:rPr>
        <w:t xml:space="preserve">objek </w:t>
      </w:r>
      <w:r w:rsidR="00432740">
        <w:rPr>
          <w:rFonts w:ascii="Bookman Old Style" w:hAnsi="Bookman Old Style"/>
        </w:rPr>
        <w:t>perbuatan</w:t>
      </w:r>
      <w:r w:rsidR="00432740" w:rsidRPr="007F3046">
        <w:rPr>
          <w:rFonts w:ascii="Bookman Old Style" w:hAnsi="Bookman Old Style"/>
        </w:rPr>
        <w:t xml:space="preserve"> yang relevan dengan perbuatan melawan hukum </w:t>
      </w:r>
      <w:r w:rsidR="00432740">
        <w:rPr>
          <w:rFonts w:ascii="Bookman Old Style" w:hAnsi="Bookman Old Style"/>
        </w:rPr>
        <w:t xml:space="preserve">menurut hukum ekonomi syariah </w:t>
      </w:r>
      <w:r w:rsidR="00432740" w:rsidRPr="007F3046">
        <w:rPr>
          <w:rFonts w:ascii="Bookman Old Style" w:hAnsi="Bookman Old Style"/>
        </w:rPr>
        <w:t xml:space="preserve">di </w:t>
      </w:r>
      <w:r w:rsidR="00432740">
        <w:rPr>
          <w:rFonts w:ascii="Bookman Old Style" w:hAnsi="Bookman Old Style"/>
        </w:rPr>
        <w:t xml:space="preserve">yaitu </w:t>
      </w:r>
      <w:r w:rsidR="00432740" w:rsidRPr="007F3046">
        <w:rPr>
          <w:rFonts w:ascii="Bookman Old Style" w:hAnsi="Bookman Old Style"/>
          <w:i/>
          <w:iCs/>
        </w:rPr>
        <w:t>ghasab, itlâf, ta’asuf f</w:t>
      </w:r>
      <w:r w:rsidR="00432740" w:rsidRPr="007F3046">
        <w:rPr>
          <w:rFonts w:ascii="Cambria" w:hAnsi="Cambria" w:cs="Cambria"/>
          <w:i/>
          <w:iCs/>
        </w:rPr>
        <w:t>ȋ</w:t>
      </w:r>
      <w:r w:rsidR="00432740" w:rsidRPr="007F3046">
        <w:rPr>
          <w:rFonts w:ascii="Bookman Old Style" w:hAnsi="Bookman Old Style"/>
          <w:i/>
          <w:iCs/>
        </w:rPr>
        <w:t xml:space="preserve"> isti’m</w:t>
      </w:r>
      <w:r w:rsidR="00432740" w:rsidRPr="007F3046">
        <w:rPr>
          <w:rFonts w:ascii="Bookman Old Style" w:hAnsi="Bookman Old Style" w:cs="Times New Roman"/>
          <w:i/>
          <w:iCs/>
        </w:rPr>
        <w:t>âli al-</w:t>
      </w:r>
      <w:r w:rsidR="00432740" w:rsidRPr="007F3046">
        <w:rPr>
          <w:rFonts w:ascii="Bookman Old Style" w:hAnsi="Bookman Old Style" w:cs="Times New Roman"/>
          <w:i/>
          <w:iCs/>
          <w:u w:val="single"/>
        </w:rPr>
        <w:t>h</w:t>
      </w:r>
      <w:r w:rsidR="00432740" w:rsidRPr="007F3046">
        <w:rPr>
          <w:rFonts w:ascii="Bookman Old Style" w:hAnsi="Bookman Old Style" w:cs="Times New Roman"/>
          <w:i/>
          <w:iCs/>
        </w:rPr>
        <w:t xml:space="preserve">aq </w:t>
      </w:r>
      <w:r w:rsidR="00432740" w:rsidRPr="007F3046">
        <w:rPr>
          <w:rFonts w:ascii="Bookman Old Style" w:hAnsi="Bookman Old Style" w:cs="Times New Roman"/>
        </w:rPr>
        <w:t xml:space="preserve">dan </w:t>
      </w:r>
      <w:r w:rsidR="00432740" w:rsidRPr="007F3046">
        <w:rPr>
          <w:rFonts w:ascii="Bookman Old Style" w:hAnsi="Bookman Old Style" w:cs="Times New Roman"/>
          <w:i/>
          <w:iCs/>
        </w:rPr>
        <w:t>wadh’ al-yad</w:t>
      </w:r>
      <w:r w:rsidR="00432740" w:rsidRPr="007F3046">
        <w:rPr>
          <w:rFonts w:ascii="Bookman Old Style" w:hAnsi="Bookman Old Style" w:cs="Times New Roman"/>
        </w:rPr>
        <w:t>.</w:t>
      </w:r>
      <w:r w:rsidR="00432740">
        <w:rPr>
          <w:rFonts w:ascii="Bookman Old Style" w:hAnsi="Bookman Old Style" w:cs="Times New Roman"/>
        </w:rPr>
        <w:t xml:space="preserve"> </w:t>
      </w:r>
      <w:r w:rsidR="00295549">
        <w:rPr>
          <w:rFonts w:ascii="Bookman Old Style" w:hAnsi="Bookman Old Style" w:cs="Times New Roman"/>
        </w:rPr>
        <w:t xml:space="preserve">Menurut para ahli hukum Islam, dapat dikatakan sebagai perbuatan melawan hukum apabila terpenuhi unsur-unsurnya. </w:t>
      </w:r>
      <w:r w:rsidR="00432740">
        <w:rPr>
          <w:rFonts w:ascii="Bookman Old Style" w:hAnsi="Bookman Old Style" w:cs="Times New Roman"/>
        </w:rPr>
        <w:t xml:space="preserve">Dalam hukum ekonomi syariah, perbuatan melawan hukum berimplikasi adanya tanggung jawab hukum yang diseubut dengan istilah </w:t>
      </w:r>
      <w:r w:rsidR="00432740">
        <w:rPr>
          <w:rFonts w:ascii="Bookman Old Style" w:hAnsi="Bookman Old Style" w:cs="Times New Roman"/>
          <w:i/>
          <w:iCs/>
        </w:rPr>
        <w:t xml:space="preserve">dhamân </w:t>
      </w:r>
      <w:r w:rsidR="00432740">
        <w:rPr>
          <w:rFonts w:ascii="Bookman Old Style" w:hAnsi="Bookman Old Style"/>
        </w:rPr>
        <w:t>yang melahirkan adanya ganti rugi (</w:t>
      </w:r>
      <w:r w:rsidR="00432740">
        <w:rPr>
          <w:rFonts w:ascii="Bookman Old Style" w:hAnsi="Bookman Old Style"/>
          <w:i/>
          <w:iCs/>
        </w:rPr>
        <w:t>ta’w</w:t>
      </w:r>
      <w:r w:rsidR="00432740">
        <w:rPr>
          <w:rFonts w:ascii="Times New Roman" w:hAnsi="Times New Roman" w:cs="Times New Roman"/>
          <w:i/>
          <w:iCs/>
        </w:rPr>
        <w:t>ȋ</w:t>
      </w:r>
      <w:r w:rsidR="00432740">
        <w:rPr>
          <w:rFonts w:ascii="Bookman Old Style" w:hAnsi="Bookman Old Style"/>
          <w:i/>
          <w:iCs/>
        </w:rPr>
        <w:t>dh</w:t>
      </w:r>
      <w:r w:rsidR="00432740">
        <w:rPr>
          <w:rFonts w:ascii="Bookman Old Style" w:hAnsi="Bookman Old Style"/>
        </w:rPr>
        <w:t>).</w:t>
      </w:r>
    </w:p>
    <w:p w14:paraId="03307059" w14:textId="7452A6C6" w:rsidR="007719D1" w:rsidRDefault="007719D1" w:rsidP="002C66F2">
      <w:pPr>
        <w:spacing w:after="0" w:line="240" w:lineRule="auto"/>
        <w:jc w:val="both"/>
        <w:rPr>
          <w:rFonts w:ascii="Bookman Old Style" w:hAnsi="Bookman Old Style"/>
        </w:rPr>
      </w:pPr>
    </w:p>
    <w:p w14:paraId="21D4ECB9" w14:textId="26B13E30" w:rsidR="007719D1" w:rsidRDefault="007719D1" w:rsidP="002C66F2">
      <w:pPr>
        <w:spacing w:after="0" w:line="240" w:lineRule="auto"/>
        <w:jc w:val="both"/>
        <w:rPr>
          <w:rFonts w:ascii="Bookman Old Style" w:hAnsi="Bookman Old Style"/>
          <w:b/>
          <w:bCs/>
        </w:rPr>
      </w:pPr>
      <w:r>
        <w:rPr>
          <w:rFonts w:ascii="Bookman Old Style" w:hAnsi="Bookman Old Style"/>
          <w:b/>
          <w:bCs/>
        </w:rPr>
        <w:t>Kata Kunci: Perbuatan Melawan Hukum, Hukum Ekonomi Syariah, Ganti Rugi</w:t>
      </w:r>
    </w:p>
    <w:p w14:paraId="78AB8FC6" w14:textId="68B7A50D" w:rsidR="00147195" w:rsidRDefault="00147195" w:rsidP="002C66F2">
      <w:pPr>
        <w:spacing w:after="0" w:line="240" w:lineRule="auto"/>
        <w:jc w:val="both"/>
        <w:rPr>
          <w:rFonts w:ascii="Bookman Old Style" w:hAnsi="Bookman Old Style"/>
          <w:b/>
          <w:bCs/>
        </w:rPr>
      </w:pPr>
    </w:p>
    <w:p w14:paraId="6843C2F4" w14:textId="28EEC802" w:rsidR="00147195" w:rsidRDefault="00147195" w:rsidP="00147195">
      <w:pPr>
        <w:spacing w:after="0" w:line="240" w:lineRule="auto"/>
        <w:jc w:val="center"/>
        <w:rPr>
          <w:rFonts w:ascii="Bookman Old Style" w:hAnsi="Bookman Old Style"/>
          <w:i/>
          <w:iCs/>
        </w:rPr>
      </w:pPr>
      <w:r>
        <w:rPr>
          <w:rFonts w:ascii="Bookman Old Style" w:hAnsi="Bookman Old Style"/>
          <w:i/>
          <w:iCs/>
        </w:rPr>
        <w:t>Abstract</w:t>
      </w:r>
    </w:p>
    <w:p w14:paraId="3B2AD7F9" w14:textId="77777777" w:rsidR="00147195" w:rsidRPr="00147195" w:rsidRDefault="00147195" w:rsidP="00147195">
      <w:pPr>
        <w:jc w:val="both"/>
        <w:rPr>
          <w:rFonts w:ascii="Bookman Old Style" w:hAnsi="Bookman Old Style"/>
          <w:i/>
          <w:iCs/>
        </w:rPr>
      </w:pPr>
      <w:r w:rsidRPr="00147195">
        <w:rPr>
          <w:rFonts w:ascii="Bookman Old Style" w:hAnsi="Bookman Old Style"/>
          <w:i/>
          <w:iCs/>
        </w:rPr>
        <w:t>The purpose of this research is to find out the concept of illegal acts in Islamic economic law and the implications of legal responsibility due to legal actions in the perspective of Islamic economic law. The research method used is based on a normative juridical approach. The research specification used is descriptive analytical. The type of data used in this research are secondary data. The data collection methods used are literature study and analysis of secondary qualitative data. The results show, first, that the term illegal action in Islamic economic law is called fi'l al-dharâr, the object of action that is relevant to acts against the law according to sharia economic law, namely ghasab, itlâf, ta'asuf f</w:t>
      </w:r>
      <w:r w:rsidRPr="00147195">
        <w:rPr>
          <w:rFonts w:ascii="Cambria" w:hAnsi="Cambria" w:cs="Cambria"/>
          <w:i/>
          <w:iCs/>
        </w:rPr>
        <w:t>ȋ</w:t>
      </w:r>
      <w:r w:rsidRPr="00147195">
        <w:rPr>
          <w:rFonts w:ascii="Bookman Old Style" w:hAnsi="Bookman Old Style"/>
          <w:i/>
          <w:iCs/>
        </w:rPr>
        <w:t xml:space="preserve"> isti'm</w:t>
      </w:r>
      <w:r w:rsidRPr="00147195">
        <w:rPr>
          <w:rFonts w:ascii="Bookman Old Style" w:hAnsi="Bookman Old Style" w:cs="Bookman Old Style"/>
          <w:i/>
          <w:iCs/>
        </w:rPr>
        <w:t>â</w:t>
      </w:r>
      <w:r w:rsidRPr="00147195">
        <w:rPr>
          <w:rFonts w:ascii="Bookman Old Style" w:hAnsi="Bookman Old Style"/>
          <w:i/>
          <w:iCs/>
        </w:rPr>
        <w:t>li al- haq and wadh 'al-yad. According to Islamic jurists, it can be said to be an act against the law if the elements are fulfilled. In sharia economic law, actions against the law imply legal responsibility which is called dhamân which gives rise to compensation (ta'w</w:t>
      </w:r>
      <w:r w:rsidRPr="00147195">
        <w:rPr>
          <w:rFonts w:ascii="Cambria" w:hAnsi="Cambria" w:cs="Cambria"/>
          <w:i/>
          <w:iCs/>
        </w:rPr>
        <w:t>ȋ</w:t>
      </w:r>
      <w:r w:rsidRPr="00147195">
        <w:rPr>
          <w:rFonts w:ascii="Bookman Old Style" w:hAnsi="Bookman Old Style"/>
          <w:i/>
          <w:iCs/>
        </w:rPr>
        <w:t>dh).</w:t>
      </w:r>
    </w:p>
    <w:p w14:paraId="36B6DD34" w14:textId="77777777" w:rsidR="00147195" w:rsidRPr="00147195" w:rsidRDefault="00147195" w:rsidP="00147195">
      <w:pPr>
        <w:rPr>
          <w:rFonts w:ascii="Bookman Old Style" w:hAnsi="Bookman Old Style"/>
          <w:i/>
          <w:iCs/>
        </w:rPr>
      </w:pPr>
      <w:r w:rsidRPr="00147195">
        <w:rPr>
          <w:rFonts w:ascii="Bookman Old Style" w:hAnsi="Bookman Old Style"/>
          <w:i/>
          <w:iCs/>
        </w:rPr>
        <w:t>Keywords: Acts against the Law, Sharia Economic Law, Compensation</w:t>
      </w:r>
    </w:p>
    <w:p w14:paraId="6B7BC1AD" w14:textId="77777777" w:rsidR="00147195" w:rsidRPr="00147195" w:rsidRDefault="00147195" w:rsidP="00147195">
      <w:pPr>
        <w:spacing w:after="0" w:line="240" w:lineRule="auto"/>
        <w:rPr>
          <w:rFonts w:ascii="Bookman Old Style" w:hAnsi="Bookman Old Style"/>
          <w:lang w:val="en-ID"/>
        </w:rPr>
      </w:pPr>
    </w:p>
    <w:p w14:paraId="397BEBFD" w14:textId="0A3A287D" w:rsidR="00CB538A" w:rsidRDefault="00CB538A" w:rsidP="009A4B05">
      <w:pPr>
        <w:spacing w:after="0" w:line="240" w:lineRule="auto"/>
        <w:jc w:val="both"/>
        <w:rPr>
          <w:rFonts w:ascii="Bookman Old Style" w:hAnsi="Bookman Old Style"/>
          <w:b/>
          <w:bCs/>
          <w:sz w:val="28"/>
          <w:szCs w:val="28"/>
        </w:rPr>
      </w:pPr>
    </w:p>
    <w:p w14:paraId="742FEBB8" w14:textId="6D72E767" w:rsidR="007C22B7" w:rsidRDefault="007C22B7" w:rsidP="009A4B05">
      <w:pPr>
        <w:spacing w:after="0" w:line="240" w:lineRule="auto"/>
        <w:jc w:val="both"/>
        <w:rPr>
          <w:rFonts w:ascii="Bookman Old Style" w:hAnsi="Bookman Old Style"/>
          <w:b/>
          <w:bCs/>
          <w:sz w:val="28"/>
          <w:szCs w:val="28"/>
        </w:rPr>
      </w:pPr>
    </w:p>
    <w:p w14:paraId="6C245A78" w14:textId="49AF97C4" w:rsidR="007C22B7" w:rsidRDefault="007C22B7" w:rsidP="009A4B05">
      <w:pPr>
        <w:spacing w:after="0" w:line="240" w:lineRule="auto"/>
        <w:jc w:val="both"/>
        <w:rPr>
          <w:rFonts w:ascii="Bookman Old Style" w:hAnsi="Bookman Old Style"/>
          <w:b/>
          <w:bCs/>
          <w:sz w:val="28"/>
          <w:szCs w:val="28"/>
        </w:rPr>
      </w:pPr>
    </w:p>
    <w:p w14:paraId="705E22E0" w14:textId="77777777" w:rsidR="007C22B7" w:rsidRPr="00CB538A" w:rsidRDefault="007C22B7" w:rsidP="009A4B05">
      <w:pPr>
        <w:spacing w:after="0" w:line="240" w:lineRule="auto"/>
        <w:jc w:val="both"/>
        <w:rPr>
          <w:rFonts w:ascii="Bookman Old Style" w:hAnsi="Bookman Old Style"/>
          <w:b/>
          <w:bCs/>
          <w:sz w:val="28"/>
          <w:szCs w:val="28"/>
        </w:rPr>
      </w:pPr>
    </w:p>
    <w:p w14:paraId="52ACE287" w14:textId="4B05ED71" w:rsidR="00BE3D2B" w:rsidRDefault="00BE3D2B" w:rsidP="00BE3D2B">
      <w:pPr>
        <w:pStyle w:val="ListParagraph"/>
        <w:numPr>
          <w:ilvl w:val="0"/>
          <w:numId w:val="6"/>
        </w:numPr>
        <w:spacing w:after="0" w:line="240" w:lineRule="auto"/>
        <w:jc w:val="both"/>
        <w:rPr>
          <w:rFonts w:ascii="Bookman Old Style" w:hAnsi="Bookman Old Style"/>
          <w:b/>
          <w:bCs/>
        </w:rPr>
      </w:pPr>
      <w:r>
        <w:rPr>
          <w:rFonts w:ascii="Bookman Old Style" w:hAnsi="Bookman Old Style"/>
          <w:b/>
          <w:bCs/>
        </w:rPr>
        <w:lastRenderedPageBreak/>
        <w:t>PENDAHULUAN</w:t>
      </w:r>
    </w:p>
    <w:p w14:paraId="3D72E723" w14:textId="3A013287" w:rsidR="00744F42" w:rsidRDefault="00744F42" w:rsidP="00744F42">
      <w:pPr>
        <w:spacing w:after="0" w:line="240" w:lineRule="auto"/>
        <w:jc w:val="both"/>
        <w:rPr>
          <w:rFonts w:ascii="Bookman Old Style" w:hAnsi="Bookman Old Style"/>
        </w:rPr>
      </w:pPr>
    </w:p>
    <w:p w14:paraId="17F44D92" w14:textId="77777777" w:rsidR="00744F42" w:rsidRDefault="00744F42" w:rsidP="00744F42">
      <w:pPr>
        <w:spacing w:after="0" w:line="240" w:lineRule="auto"/>
        <w:ind w:firstLine="720"/>
        <w:jc w:val="both"/>
        <w:rPr>
          <w:rFonts w:ascii="Bookman Old Style" w:hAnsi="Bookman Old Style"/>
        </w:rPr>
      </w:pPr>
      <w:r>
        <w:rPr>
          <w:rFonts w:ascii="Bookman Old Style" w:hAnsi="Bookman Old Style"/>
        </w:rPr>
        <w:t xml:space="preserve">Konsep serta istilah perbuatan melawan hukum (PMH) merupakan terjemah dari bahasa Belanda yaitu </w:t>
      </w:r>
      <w:r>
        <w:rPr>
          <w:rFonts w:ascii="Bookman Old Style" w:hAnsi="Bookman Old Style"/>
          <w:i/>
          <w:iCs/>
        </w:rPr>
        <w:t>onrechtmatigedaad</w:t>
      </w:r>
      <w:r>
        <w:rPr>
          <w:rFonts w:ascii="Bookman Old Style" w:hAnsi="Bookman Old Style"/>
        </w:rPr>
        <w:t xml:space="preserve"> yang lazimnya memiliki arti yang sempit yang digunakan dalam Pasal 1365 </w:t>
      </w:r>
      <w:r>
        <w:rPr>
          <w:rFonts w:ascii="Bookman Old Style" w:hAnsi="Bookman Old Style"/>
          <w:i/>
          <w:iCs/>
        </w:rPr>
        <w:t xml:space="preserve">Burgerlijk Werboek </w:t>
      </w:r>
      <w:r>
        <w:rPr>
          <w:rFonts w:ascii="Bookman Old Style" w:hAnsi="Bookman Old Style"/>
        </w:rPr>
        <w:t>(BW) atau biasa di sebut dengan Kitab Undang-Undang Hukum Perdata/KUH Per.</w:t>
      </w:r>
      <w:r>
        <w:rPr>
          <w:rFonts w:ascii="Bookman Old Style" w:hAnsi="Bookman Old Style"/>
        </w:rPr>
        <w:fldChar w:fldCharType="begin" w:fldLock="1"/>
      </w:r>
      <w:r>
        <w:rPr>
          <w:rFonts w:ascii="Bookman Old Style" w:hAnsi="Bookman Old Style"/>
        </w:rPr>
        <w:instrText>ADDIN CSL_CITATION {"citationItems":[{"id":"ITEM-1","itemData":{"DOI":"10.14710/mmh.46.1.2017.55-68","ISSN":"2086-2695","abstract":"Doktrin hukum pada prinsipnya terbagi atas dua, yaitu doktrin klasik dan doktrin kontemporer. Doktrin hukum kontrak klasik menekankan pada aspek kepastian hukum. Aspek ini tergambar dari penekanannya bahwa setiap pernyataan kehendak harus dituangkan dalam kontrak yang ditandatangani para pihak agar memiliki kekuatan mengikat. Doktrin klasik membedakan secara tegas wanprestasi dan perbuatan melawan hukum. Tuntutan atas pelanggaran kontrak harus dengan dasar wanprestasi, bukan perbuatan melawan hukum. Sebaliknya, doktrin kontemporer lebih menekankan pada aspek keadilan dan kepatutan. Doktrin kontemporer mengenal kontrak sebagai konstruksi yang terdiri atas tahap pracontractual, contractual, dan postcontractual. Karenanya, doktrin kontemporer menganggap janji-janji pra kontrak memiliki akibat hukum tertentu, hal mana berbeda dengan doktrin klasik yang tidak mengakui adanya akibat hukum pra kontrak. Doktrin kontemporer juga tidak lagi membedakan secara tegas wanprestasi dan perbuatan melawan hukum sebagai dasar gugatan pelanggaran kontrak karena wanprestasi pada prinsipnya merupakan specific genus dari perbuatan melawan hukum.","author":[{"dropping-particle":"","family":"Asnawi","given":"Muhammad Natsir","non-dropping-particle":"","parse-names":false,"suffix":""}],"container-title":"Masalah-Masalah Hukum","id":"ITEM-1","issue":"1","issued":{"date-parts":[["2018"]]},"page":"55","title":"Perlindungan Hukum Kontrak Dalam Perspektif Hukum Kontrak Kontemporer","type":"article-journal","volume":"46"},"uris":["http://www.mendeley.com/documents/?uuid=1926d516-8c95-441b-9ca5-e484f1d9e720"]}],"mendeley":{"formattedCitation":"(Asnawi, 2018)","plainTextFormattedCitation":"(Asnawi, 2018)","previouslyFormattedCitation":"(Asnawi, 2018)"},"properties":{"noteIndex":0},"schema":"https://github.com/citation-style-language/schema/raw/master/csl-citation.json"}</w:instrText>
      </w:r>
      <w:r>
        <w:rPr>
          <w:rFonts w:ascii="Bookman Old Style" w:hAnsi="Bookman Old Style"/>
        </w:rPr>
        <w:fldChar w:fldCharType="separate"/>
      </w:r>
      <w:r w:rsidRPr="00C13380">
        <w:rPr>
          <w:rFonts w:ascii="Bookman Old Style" w:hAnsi="Bookman Old Style"/>
          <w:noProof/>
        </w:rPr>
        <w:t>(Asnawi, 2018)</w:t>
      </w:r>
      <w:r>
        <w:rPr>
          <w:rFonts w:ascii="Bookman Old Style" w:hAnsi="Bookman Old Style"/>
        </w:rPr>
        <w:fldChar w:fldCharType="end"/>
      </w:r>
      <w:r>
        <w:rPr>
          <w:rFonts w:ascii="Bookman Old Style" w:hAnsi="Bookman Old Style"/>
        </w:rPr>
        <w:t xml:space="preserve">. </w:t>
      </w:r>
    </w:p>
    <w:p w14:paraId="1250AA71" w14:textId="77777777" w:rsidR="00744F42" w:rsidRDefault="00744F42" w:rsidP="00744F42">
      <w:pPr>
        <w:spacing w:after="0" w:line="240" w:lineRule="auto"/>
        <w:ind w:firstLine="720"/>
        <w:jc w:val="both"/>
        <w:rPr>
          <w:rFonts w:ascii="Bookman Old Style" w:hAnsi="Bookman Old Style"/>
        </w:rPr>
      </w:pPr>
      <w:r>
        <w:rPr>
          <w:rFonts w:ascii="Bookman Old Style" w:hAnsi="Bookman Old Style"/>
        </w:rPr>
        <w:t>Substansi dari bunyi Pasal 1365 KUHPer menentukan bahwa tiap perbuatan melawan hukum yang mengakibatkan adanya kerugian pada orang lain, maka wajib bagi orang yang melakukan perbuatan tersebut untuk mengganti rugi.</w:t>
      </w:r>
      <w:r>
        <w:rPr>
          <w:rFonts w:ascii="Bookman Old Style" w:hAnsi="Bookman Old Style"/>
        </w:rPr>
        <w:fldChar w:fldCharType="begin" w:fldLock="1"/>
      </w:r>
      <w:r>
        <w:rPr>
          <w:rFonts w:ascii="Bookman Old Style" w:hAnsi="Bookman Old Style"/>
        </w:rPr>
        <w:instrText>ADDIN CSL_CITATION {"citationItems":[{"id":"ITEM-1","itemData":{"author":[{"dropping-particle":"","family":"Sedyo Prayogo","given":"","non-dropping-particle":"","parse-names":false,"suffix":""}],"container-title":"Jurnal Pembaharuan Hukum","id":"ITEM-1","issue":"2","issued":{"date-parts":[["2016"]]},"page":"281","title":"Penerapan Batas-Batas Wanprestasi dan Perbuatan Melawan Hukum dalam Perjanjian","type":"article-journal","volume":"III"},"uris":["http://www.mendeley.com/documents/?uuid=8f26a9e5-8c8e-4ca6-9e65-17c7b7831524"]}],"mendeley":{"formattedCitation":"(Sedyo Prayogo, 2016)","plainTextFormattedCitation":"(Sedyo Prayogo, 2016)","previouslyFormattedCitation":"(Sedyo Prayogo, 2016)"},"properties":{"noteIndex":0},"schema":"https://github.com/citation-style-language/schema/raw/master/csl-citation.json"}</w:instrText>
      </w:r>
      <w:r>
        <w:rPr>
          <w:rFonts w:ascii="Bookman Old Style" w:hAnsi="Bookman Old Style"/>
        </w:rPr>
        <w:fldChar w:fldCharType="separate"/>
      </w:r>
      <w:r w:rsidRPr="00733FCB">
        <w:rPr>
          <w:rFonts w:ascii="Bookman Old Style" w:hAnsi="Bookman Old Style"/>
          <w:noProof/>
        </w:rPr>
        <w:t>(Sedyo Prayogo, 2016)</w:t>
      </w:r>
      <w:r>
        <w:rPr>
          <w:rFonts w:ascii="Bookman Old Style" w:hAnsi="Bookman Old Style"/>
        </w:rPr>
        <w:fldChar w:fldCharType="end"/>
      </w:r>
      <w:r>
        <w:rPr>
          <w:rFonts w:ascii="Bookman Old Style" w:hAnsi="Bookman Old Style"/>
        </w:rPr>
        <w:t xml:space="preserve"> berdasarkan ketetuan Pasal 1365 KUH Per tersebut maka dapat kita pahami bahwa kesalahan akibat dari perbuatan melawan hukum (PMH) maka berimlikasi adanya kewajiban untuk memeberikan ganti rugi akibat dari perbuatan PMH tersebut.</w:t>
      </w:r>
      <w:r>
        <w:rPr>
          <w:rFonts w:ascii="Bookman Old Style" w:hAnsi="Bookman Old Style"/>
        </w:rPr>
        <w:fldChar w:fldCharType="begin" w:fldLock="1"/>
      </w:r>
      <w:r>
        <w:rPr>
          <w:rFonts w:ascii="Bookman Old Style" w:hAnsi="Bookman Old Style"/>
        </w:rPr>
        <w:instrText>ADDIN CSL_CITATION {"citationItems":[{"id":"ITEM-1","itemData":{"abstract":"Conception of tort law is often equated with the concept of bad-faith actions (default). Though both are very different conceptions of each other, although both are derived from the engagement, the engagement konpsesi defaulting from the birth of the agreement and the conception of tort comes from the birth of the engagement of the law. Besides the differences are also apparent from the compensation charged. Based on this study intended to examine the conception of tort law and breach of contract in civil law and the claims for compensation due to due to unlawful act or breach of contract action (default) is. For his research and writing is made and prepared by the method of juridical normative research that uses qualitative analysis of data derived from primary legal materials, materials related to kosepsi secondary law tort and breach of contract and demand compensation. This study approaches the law (Statute approach) is done by reviewing some laws and other regulations relevant. Keywords:","author":[{"dropping-particle":"","family":"Slamet","given":"Sri Redjeki","non-dropping-particle":"","parse-names":false,"suffix":""}],"container-title":"Lex Jurnalica (Journal of Law)","id":"ITEM-1","issue":"2","issued":{"date-parts":[["2013"]]},"page":"107-120","title":"Tuntutan Ganti Rugi dalam Perbuatan Melawan Hukum: Suatu Perbandingan dengan Wanprestasi","type":"article-journal","volume":"10"},"uris":["http://www.mendeley.com/documents/?uuid=78d083d0-3ee7-4815-b62d-344426ade65f"]}],"mendeley":{"formattedCitation":"(Slamet, 2013)","plainTextFormattedCitation":"(Slamet, 2013)","previouslyFormattedCitation":"(Slamet, 2013)"},"properties":{"noteIndex":0},"schema":"https://github.com/citation-style-language/schema/raw/master/csl-citation.json"}</w:instrText>
      </w:r>
      <w:r>
        <w:rPr>
          <w:rFonts w:ascii="Bookman Old Style" w:hAnsi="Bookman Old Style"/>
        </w:rPr>
        <w:fldChar w:fldCharType="separate"/>
      </w:r>
      <w:r w:rsidRPr="00456C7E">
        <w:rPr>
          <w:rFonts w:ascii="Bookman Old Style" w:hAnsi="Bookman Old Style"/>
          <w:noProof/>
        </w:rPr>
        <w:t>(Slamet, 2013)</w:t>
      </w:r>
      <w:r>
        <w:rPr>
          <w:rFonts w:ascii="Bookman Old Style" w:hAnsi="Bookman Old Style"/>
        </w:rPr>
        <w:fldChar w:fldCharType="end"/>
      </w:r>
    </w:p>
    <w:p w14:paraId="3BA760B5" w14:textId="1B54FCED" w:rsidR="00744F42" w:rsidRDefault="00744F42" w:rsidP="00744F42">
      <w:pPr>
        <w:spacing w:after="0" w:line="240" w:lineRule="auto"/>
        <w:ind w:firstLine="720"/>
        <w:jc w:val="both"/>
        <w:rPr>
          <w:rFonts w:ascii="Bookman Old Style" w:hAnsi="Bookman Old Style"/>
        </w:rPr>
      </w:pPr>
      <w:r>
        <w:rPr>
          <w:rFonts w:ascii="Bookman Old Style" w:hAnsi="Bookman Old Style"/>
        </w:rPr>
        <w:t xml:space="preserve">Menurut para sarjana hukum unsur dari perbuatan melawan hukum bukan hanya yang berkaitan dengan adanya perbuatan yang brsifat aktif, akan tetapi dapat pula bersifat pasif, yaitu dengan tidak berbuat sesuai yang seharusnya ia lakukan. Konsep ini biasa disebut dengan </w:t>
      </w:r>
      <w:r>
        <w:rPr>
          <w:rFonts w:ascii="Bookman Old Style" w:hAnsi="Bookman Old Style"/>
          <w:i/>
          <w:iCs/>
        </w:rPr>
        <w:t xml:space="preserve">by commision </w:t>
      </w:r>
      <w:r>
        <w:rPr>
          <w:rFonts w:ascii="Bookman Old Style" w:hAnsi="Bookman Old Style"/>
        </w:rPr>
        <w:t xml:space="preserve">maupun </w:t>
      </w:r>
      <w:r>
        <w:rPr>
          <w:rFonts w:ascii="Bookman Old Style" w:hAnsi="Bookman Old Style"/>
          <w:i/>
          <w:iCs/>
        </w:rPr>
        <w:t>by ommision</w:t>
      </w:r>
      <w:r>
        <w:rPr>
          <w:rFonts w:ascii="Bookman Old Style" w:hAnsi="Bookman Old Style"/>
        </w:rPr>
        <w:t>. Rumusan konsep PMH padal Pasal 1362 KUH Per pada mualnya hanya ditunjukan untuk perbuatan yang dilakukan diakibatkan adanya kesalahan yang dilakukan secara sengaja, sedangkan Pasal 1366 KUH Per merumuskan erbuatan yang dilakukan akibat kelalaian. Namun, pasca putusan 31 Januari 1919, makna Pasla 1365 diperluas yang pada akhirnya mencakup Pasal 1366 yang mengatur perbuata melawan hukum yang diakibatkan oleh kelalaian.</w:t>
      </w:r>
      <w:r>
        <w:rPr>
          <w:rFonts w:ascii="Bookman Old Style" w:hAnsi="Bookman Old Style"/>
        </w:rPr>
        <w:fldChar w:fldCharType="begin" w:fldLock="1"/>
      </w:r>
      <w:r>
        <w:rPr>
          <w:rFonts w:ascii="Bookman Old Style" w:hAnsi="Bookman Old Style"/>
        </w:rPr>
        <w:instrText>ADDIN CSL_CITATION {"citationItems":[{"id":"ITEM-1","itemData":{"DOI":"10.51825/nhk.v1i1.4818","author":[{"dropping-particle":"","family":"Salam","given":"Syukron","non-dropping-particle":"","parse-names":false,"suffix":""}],"container-title":"Nurani Hukum","id":"ITEM-1","issue":"1","issued":{"date-parts":[["2018"]]},"page":"33-44","title":"Perkembangan doktrin perbuatan melawan hukum penguasa","type":"article-journal","volume":"1"},"uris":["http://www.mendeley.com/documents/?uuid=a50872a5-b797-4529-8281-b09c0a608c0a"]}],"mendeley":{"formattedCitation":"(Salam, 2018)","plainTextFormattedCitation":"(Salam, 2018)","previouslyFormattedCitation":"(Salam, 2018)"},"properties":{"noteIndex":0},"schema":"https://github.com/citation-style-language/schema/raw/master/csl-citation.json"}</w:instrText>
      </w:r>
      <w:r>
        <w:rPr>
          <w:rFonts w:ascii="Bookman Old Style" w:hAnsi="Bookman Old Style"/>
        </w:rPr>
        <w:fldChar w:fldCharType="separate"/>
      </w:r>
      <w:r w:rsidRPr="00956DE5">
        <w:rPr>
          <w:rFonts w:ascii="Bookman Old Style" w:hAnsi="Bookman Old Style"/>
          <w:noProof/>
        </w:rPr>
        <w:t>(Salam, 2018)</w:t>
      </w:r>
      <w:r>
        <w:rPr>
          <w:rFonts w:ascii="Bookman Old Style" w:hAnsi="Bookman Old Style"/>
        </w:rPr>
        <w:fldChar w:fldCharType="end"/>
      </w:r>
    </w:p>
    <w:p w14:paraId="2677D6FB" w14:textId="7B017EB2" w:rsidR="00EA3C11" w:rsidRDefault="00EA3C11" w:rsidP="00744F42">
      <w:pPr>
        <w:spacing w:after="0" w:line="240" w:lineRule="auto"/>
        <w:ind w:firstLine="720"/>
        <w:jc w:val="both"/>
        <w:rPr>
          <w:rFonts w:ascii="Bookman Old Style" w:hAnsi="Bookman Old Style"/>
        </w:rPr>
      </w:pPr>
      <w:r>
        <w:rPr>
          <w:rFonts w:ascii="Bookman Old Style" w:hAnsi="Bookman Old Style"/>
        </w:rPr>
        <w:t>Dalam kajian ilmu hukum ekonomi di Indonesia, terdapat 2 (dua) macam ekonomu, yaitu ekonomi syariah (yang menjadi kewenangan Peradilan Agama apabila terdapat sengketa) dan ekonomi konvensional (menjadi kewenangan Peradilan Umum apabila terjadi senketa). Masing-masing jenis ekonomi tersebut memiliki karakteristik sendiri-sendiri.</w:t>
      </w:r>
      <w:r>
        <w:rPr>
          <w:rFonts w:ascii="Bookman Old Style" w:hAnsi="Bookman Old Style"/>
        </w:rPr>
        <w:fldChar w:fldCharType="begin" w:fldLock="1"/>
      </w:r>
      <w:r w:rsidR="00E72E11">
        <w:rPr>
          <w:rFonts w:ascii="Bookman Old Style" w:hAnsi="Bookman Old Style"/>
        </w:rPr>
        <w:instrText>ADDIN CSL_CITATION {"citationItems":[{"id":"ITEM-1","itemData":{"author":[{"dropping-particle":"","family":"Dhomiri","given":"","non-dropping-particle":"","parse-names":false,"suffix":""}],"id":"ITEM-1","issued":{"date-parts":[["2017"]]},"number-of-pages":"xi","publisher":"Puslitbang Hukum dan Peradilan Mahkamah Agung RI","publisher-place":"Jakarta","title":"Gugatan Perbuatan Melawan Hukum Syariah (PMHS) Dalam Hukum Islam","type":"book"},"uris":["http://www.mendeley.com/documents/?uuid=54f82922-1114-4cd9-b876-213a4f1a9081"]}],"mendeley":{"formattedCitation":"(Dhomiri, 2017)","plainTextFormattedCitation":"(Dhomiri, 2017)","previouslyFormattedCitation":"(Dhomiri, 2017)"},"properties":{"noteIndex":0},"schema":"https://github.com/citation-style-language/schema/raw/master/csl-citation.json"}</w:instrText>
      </w:r>
      <w:r>
        <w:rPr>
          <w:rFonts w:ascii="Bookman Old Style" w:hAnsi="Bookman Old Style"/>
        </w:rPr>
        <w:fldChar w:fldCharType="separate"/>
      </w:r>
      <w:r w:rsidRPr="00EA3C11">
        <w:rPr>
          <w:rFonts w:ascii="Bookman Old Style" w:hAnsi="Bookman Old Style"/>
          <w:noProof/>
        </w:rPr>
        <w:t>(Dhomiri, 2017)</w:t>
      </w:r>
      <w:r>
        <w:rPr>
          <w:rFonts w:ascii="Bookman Old Style" w:hAnsi="Bookman Old Style"/>
        </w:rPr>
        <w:fldChar w:fldCharType="end"/>
      </w:r>
    </w:p>
    <w:p w14:paraId="6040EA31" w14:textId="25EAFE70" w:rsidR="00EA3C11" w:rsidRDefault="00EA3C11" w:rsidP="00744F42">
      <w:pPr>
        <w:spacing w:after="0" w:line="240" w:lineRule="auto"/>
        <w:ind w:firstLine="720"/>
        <w:jc w:val="both"/>
        <w:rPr>
          <w:rFonts w:ascii="Bookman Old Style" w:hAnsi="Bookman Old Style"/>
        </w:rPr>
      </w:pPr>
      <w:r>
        <w:rPr>
          <w:rFonts w:ascii="Bookman Old Style" w:hAnsi="Bookman Old Style"/>
        </w:rPr>
        <w:t xml:space="preserve">Ekonomi konvensional memiliki ciri-ciri yang berbeda dengan ekonomi syariah. Ciri ekonomi konvensional melakat pada dua paham ekonomi yaitu paham kapitalisme dan sosialisme. Sedangkan ekonomi syariah berdasarkan wahyu ilahi dalam hal ini bersumber dan berasaskan pada Alquran dan hadis Nabi Muhammad Saw. </w:t>
      </w:r>
    </w:p>
    <w:p w14:paraId="432FCF47" w14:textId="41B85124" w:rsidR="00EA3C11" w:rsidRDefault="00680073" w:rsidP="00744F42">
      <w:pPr>
        <w:spacing w:after="0" w:line="240" w:lineRule="auto"/>
        <w:ind w:firstLine="720"/>
        <w:jc w:val="both"/>
        <w:rPr>
          <w:rFonts w:ascii="Bookman Old Style" w:hAnsi="Bookman Old Style"/>
        </w:rPr>
      </w:pPr>
      <w:r>
        <w:rPr>
          <w:rFonts w:ascii="Bookman Old Style" w:hAnsi="Bookman Old Style"/>
        </w:rPr>
        <w:t>Studi ekonomi syariah di Indonesia semakin menemukan relevansinya dengan kebutuhan praktis setelah lahirnya berbagai macam regulasi yang mendukung di antaranya  UU No. 3 Tahun 2006 tentang Peradilan Agama (yang memberikan kewenangan absolut kepa Pengadilan Agama untuk menyelesaikan sengketa ekonomi syariah) UU No. 21 Tahun 2008 tentang Perbankan Syariah dan Perma No. 2 Tahun 2008 tentang Kompilasi Hukum Ekonomi Syariah</w:t>
      </w:r>
      <w:r w:rsidR="00523BD4">
        <w:rPr>
          <w:rFonts w:ascii="Bookman Old Style" w:hAnsi="Bookman Old Style"/>
        </w:rPr>
        <w:t xml:space="preserve"> dan lain sebagainya. </w:t>
      </w:r>
    </w:p>
    <w:p w14:paraId="570D9C42" w14:textId="3BD9797B" w:rsidR="00523BD4" w:rsidRDefault="00523BD4" w:rsidP="00744F42">
      <w:pPr>
        <w:spacing w:after="0" w:line="240" w:lineRule="auto"/>
        <w:ind w:firstLine="720"/>
        <w:jc w:val="both"/>
        <w:rPr>
          <w:rFonts w:ascii="Bookman Old Style" w:hAnsi="Bookman Old Style"/>
        </w:rPr>
      </w:pPr>
      <w:r>
        <w:rPr>
          <w:rFonts w:ascii="Bookman Old Style" w:hAnsi="Bookman Old Style"/>
        </w:rPr>
        <w:t>Pemikiran hukum ekonomi syariah karya ulama masa lalu yang terhampar dalam berbagai kitab-kitab fikih, kimi mulai dijadikan objek kajian. Rentang waktu zaman keemasan imam mazhab dengan era milenial saat ini, terkadang melahirkan roblem kesenjangan dalam berbagai konteks.</w:t>
      </w:r>
      <w:r w:rsidR="004E3E9C">
        <w:rPr>
          <w:rFonts w:ascii="Bookman Old Style" w:hAnsi="Bookman Old Style"/>
        </w:rPr>
        <w:t xml:space="preserve"> Oleh karena itu, menghadirkan relavansi vguna menautkan warisan masa lalu dengan kebutuhan masa kini memang tidaklah mudah, dibutuhkan kearifan dan pemahaman yang komprehensif melalui interpretasi teks-teks </w:t>
      </w:r>
      <w:r w:rsidR="004E3E9C">
        <w:rPr>
          <w:rFonts w:ascii="Bookman Old Style" w:hAnsi="Bookman Old Style"/>
          <w:i/>
          <w:iCs/>
        </w:rPr>
        <w:t>nash</w:t>
      </w:r>
      <w:r w:rsidR="004E3E9C">
        <w:rPr>
          <w:rFonts w:ascii="Bookman Old Style" w:hAnsi="Bookman Old Style"/>
        </w:rPr>
        <w:t xml:space="preserve"> ke dalam konteks waktu dan tempat secara tepat. </w:t>
      </w:r>
    </w:p>
    <w:p w14:paraId="21163FC6" w14:textId="2D303301" w:rsidR="004E3E9C" w:rsidRPr="004E3E9C" w:rsidRDefault="00D10918" w:rsidP="00744F42">
      <w:pPr>
        <w:spacing w:after="0" w:line="240" w:lineRule="auto"/>
        <w:ind w:firstLine="720"/>
        <w:jc w:val="both"/>
        <w:rPr>
          <w:rFonts w:ascii="Bookman Old Style" w:hAnsi="Bookman Old Style"/>
        </w:rPr>
      </w:pPr>
      <w:r>
        <w:rPr>
          <w:rFonts w:ascii="Bookman Old Style" w:hAnsi="Bookman Old Style"/>
        </w:rPr>
        <w:t>Konsep-konsep warisan para ulama terdahulu (fikih klasik) terkait pembahasan penyelesaian sengketa akad/perjanjian seperti perbuatan melawan hukum belum</w:t>
      </w:r>
      <w:r w:rsidR="004B1669">
        <w:rPr>
          <w:rFonts w:ascii="Bookman Old Style" w:hAnsi="Bookman Old Style"/>
        </w:rPr>
        <w:t xml:space="preserve"> </w:t>
      </w:r>
      <w:r w:rsidR="00766094">
        <w:rPr>
          <w:rFonts w:ascii="Bookman Old Style" w:hAnsi="Bookman Old Style"/>
        </w:rPr>
        <w:t>dibahas</w:t>
      </w:r>
      <w:r w:rsidR="004B1669">
        <w:rPr>
          <w:rFonts w:ascii="Bookman Old Style" w:hAnsi="Bookman Old Style"/>
        </w:rPr>
        <w:t xml:space="preserve"> secara sistematis. Dengan demikian, </w:t>
      </w:r>
      <w:r w:rsidR="004B1669">
        <w:rPr>
          <w:rFonts w:ascii="Bookman Old Style" w:hAnsi="Bookman Old Style"/>
        </w:rPr>
        <w:lastRenderedPageBreak/>
        <w:t xml:space="preserve">perkembangan yang cukup pesat terkait hukum ekonomi syariah khsusunya di Indonesia, dibutuhkan suatu konsep dan komprehensif terkait dengan konsep perbuatan melawan hukum. Oleh karena itu, penelitian ini berfokus pada konsep perbuatan melawan hukum perspektif hukum ekonomi syariah. </w:t>
      </w:r>
    </w:p>
    <w:p w14:paraId="5AFC3118" w14:textId="77777777" w:rsidR="00744F42" w:rsidRPr="00744F42" w:rsidRDefault="00744F42" w:rsidP="00744F42">
      <w:pPr>
        <w:spacing w:after="0" w:line="240" w:lineRule="auto"/>
        <w:jc w:val="both"/>
        <w:rPr>
          <w:rFonts w:ascii="Bookman Old Style" w:hAnsi="Bookman Old Style"/>
        </w:rPr>
      </w:pPr>
    </w:p>
    <w:p w14:paraId="45715395" w14:textId="7436B61A" w:rsidR="009B7685" w:rsidRPr="009B7685" w:rsidRDefault="00BE3D2B" w:rsidP="009B7685">
      <w:pPr>
        <w:pStyle w:val="ListParagraph"/>
        <w:numPr>
          <w:ilvl w:val="0"/>
          <w:numId w:val="6"/>
        </w:numPr>
        <w:spacing w:after="0" w:line="240" w:lineRule="auto"/>
        <w:jc w:val="both"/>
        <w:rPr>
          <w:rFonts w:ascii="Bookman Old Style" w:hAnsi="Bookman Old Style"/>
          <w:b/>
          <w:bCs/>
        </w:rPr>
      </w:pPr>
      <w:r>
        <w:rPr>
          <w:rFonts w:ascii="Bookman Old Style" w:hAnsi="Bookman Old Style"/>
          <w:b/>
          <w:bCs/>
        </w:rPr>
        <w:t>METODE PENELITIAN</w:t>
      </w:r>
    </w:p>
    <w:p w14:paraId="20259E92" w14:textId="3F5CCEC1" w:rsidR="009B7685" w:rsidRPr="009B7685" w:rsidRDefault="009B7685" w:rsidP="009B7685">
      <w:pPr>
        <w:tabs>
          <w:tab w:val="left" w:pos="720"/>
        </w:tabs>
        <w:spacing w:after="0" w:line="240" w:lineRule="auto"/>
        <w:jc w:val="both"/>
        <w:rPr>
          <w:rFonts w:ascii="Bookman Old Style" w:hAnsi="Bookman Old Style" w:cs="Times New Roman"/>
        </w:rPr>
      </w:pPr>
      <w:r>
        <w:rPr>
          <w:rFonts w:ascii="Times New Roman" w:hAnsi="Times New Roman" w:cs="Times New Roman"/>
          <w:lang w:val="en-ID"/>
        </w:rPr>
        <w:tab/>
      </w:r>
      <w:proofErr w:type="spellStart"/>
      <w:r w:rsidRPr="009B7685">
        <w:rPr>
          <w:rFonts w:ascii="Bookman Old Style" w:hAnsi="Bookman Old Style" w:cs="Times New Roman"/>
          <w:lang w:val="en-ID"/>
        </w:rPr>
        <w:t>Metode</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penelitian</w:t>
      </w:r>
      <w:proofErr w:type="spellEnd"/>
      <w:r w:rsidRPr="009B7685">
        <w:rPr>
          <w:rFonts w:ascii="Bookman Old Style" w:hAnsi="Bookman Old Style" w:cs="Times New Roman"/>
          <w:lang w:val="en-ID"/>
        </w:rPr>
        <w:t xml:space="preserve"> yang </w:t>
      </w:r>
      <w:proofErr w:type="spellStart"/>
      <w:r w:rsidRPr="009B7685">
        <w:rPr>
          <w:rFonts w:ascii="Bookman Old Style" w:hAnsi="Bookman Old Style" w:cs="Times New Roman"/>
          <w:lang w:val="en-ID"/>
        </w:rPr>
        <w:t>dilakukan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berdasarkan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pendekatan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yuridis</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normatif</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yaitu</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dengan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mengkaji</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atau</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menganalisis</w:t>
      </w:r>
      <w:proofErr w:type="spellEnd"/>
      <w:r w:rsidRPr="009B7685">
        <w:rPr>
          <w:rFonts w:ascii="Bookman Old Style" w:hAnsi="Bookman Old Style" w:cs="Times New Roman"/>
          <w:lang w:val="en-ID"/>
        </w:rPr>
        <w:t xml:space="preserve"> data </w:t>
      </w:r>
      <w:proofErr w:type="spellStart"/>
      <w:r w:rsidRPr="009B7685">
        <w:rPr>
          <w:rFonts w:ascii="Bookman Old Style" w:hAnsi="Bookman Old Style" w:cs="Times New Roman"/>
          <w:lang w:val="en-ID"/>
        </w:rPr>
        <w:t>sekunder</w:t>
      </w:r>
      <w:proofErr w:type="spellEnd"/>
      <w:r w:rsidRPr="009B7685">
        <w:rPr>
          <w:rFonts w:ascii="Bookman Old Style" w:hAnsi="Bookman Old Style" w:cs="Times New Roman"/>
          <w:lang w:val="en-ID"/>
        </w:rPr>
        <w:t xml:space="preserve"> yang </w:t>
      </w:r>
      <w:proofErr w:type="spellStart"/>
      <w:r w:rsidRPr="009B7685">
        <w:rPr>
          <w:rFonts w:ascii="Bookman Old Style" w:hAnsi="Bookman Old Style" w:cs="Times New Roman"/>
          <w:lang w:val="en-ID"/>
        </w:rPr>
        <w:t>berupa</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bahan-bahan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hukum</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sekunder</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dengan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memahami</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hukum</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sebagai</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perangkat</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peraturan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atau</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norma</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positif</w:t>
      </w:r>
      <w:proofErr w:type="spellEnd"/>
      <w:r w:rsidRPr="009B7685">
        <w:rPr>
          <w:rFonts w:ascii="Bookman Old Style" w:hAnsi="Bookman Old Style" w:cs="Times New Roman"/>
          <w:lang w:val="en-ID"/>
        </w:rPr>
        <w:t xml:space="preserve"> di </w:t>
      </w:r>
      <w:proofErr w:type="spellStart"/>
      <w:r w:rsidRPr="009B7685">
        <w:rPr>
          <w:rFonts w:ascii="Bookman Old Style" w:hAnsi="Bookman Old Style" w:cs="Times New Roman"/>
          <w:lang w:val="en-ID"/>
        </w:rPr>
        <w:t>dalam</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perundang</w:t>
      </w:r>
      <w:proofErr w:type="spellEnd"/>
      <w:r w:rsidRPr="009B7685">
        <w:rPr>
          <w:rFonts w:ascii="Bookman Old Style" w:hAnsi="Bookman Old Style" w:cs="Times New Roman"/>
          <w:lang w:val="en-ID"/>
        </w:rPr>
        <w:t>–</w:t>
      </w:r>
      <w:proofErr w:type="spellStart"/>
      <w:r w:rsidRPr="009B7685">
        <w:rPr>
          <w:rFonts w:ascii="Bookman Old Style" w:hAnsi="Bookman Old Style" w:cs="Times New Roman"/>
          <w:lang w:val="en-ID"/>
        </w:rPr>
        <w:t>undangan</w:t>
      </w:r>
      <w:proofErr w:type="spellEnd"/>
      <w:r w:rsidRPr="009B7685">
        <w:rPr>
          <w:rFonts w:ascii="Bookman Old Style" w:hAnsi="Bookman Old Style" w:cs="Times New Roman"/>
          <w:lang w:val="en-ID"/>
        </w:rPr>
        <w:t xml:space="preserve"> yang </w:t>
      </w:r>
      <w:proofErr w:type="spellStart"/>
      <w:r w:rsidRPr="009B7685">
        <w:rPr>
          <w:rFonts w:ascii="Bookman Old Style" w:hAnsi="Bookman Old Style" w:cs="Times New Roman"/>
          <w:lang w:val="en-ID"/>
        </w:rPr>
        <w:t>berlaku</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jadi</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penelitian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ini</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dipahami</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sebagai</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penelitian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kepustakaan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yaitu</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penelitian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terhadap</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bahan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sekunder</w:t>
      </w:r>
      <w:proofErr w:type="spellEnd"/>
      <w:r>
        <w:rPr>
          <w:rFonts w:ascii="Bookman Old Style" w:hAnsi="Bookman Old Style" w:cs="Times New Roman"/>
        </w:rPr>
        <w:t xml:space="preserve">. </w:t>
      </w:r>
    </w:p>
    <w:p w14:paraId="5E411629" w14:textId="307AAA66" w:rsidR="009B7685" w:rsidRPr="009B7685" w:rsidRDefault="009B7685" w:rsidP="009B7685">
      <w:pPr>
        <w:tabs>
          <w:tab w:val="left" w:pos="720"/>
        </w:tabs>
        <w:spacing w:after="0" w:line="240" w:lineRule="auto"/>
        <w:jc w:val="both"/>
        <w:rPr>
          <w:rFonts w:ascii="Bookman Old Style" w:hAnsi="Bookman Old Style" w:cs="Times New Roman"/>
        </w:rPr>
      </w:pPr>
      <w:r w:rsidRPr="009B7685">
        <w:rPr>
          <w:rFonts w:ascii="Bookman Old Style" w:hAnsi="Bookman Old Style" w:cs="Times New Roman"/>
          <w:lang w:val="en-ID"/>
        </w:rPr>
        <w:tab/>
      </w:r>
      <w:proofErr w:type="spellStart"/>
      <w:r w:rsidRPr="009B7685">
        <w:rPr>
          <w:rFonts w:ascii="Bookman Old Style" w:hAnsi="Bookman Old Style" w:cs="Times New Roman"/>
          <w:lang w:val="en-ID"/>
        </w:rPr>
        <w:t>Spesifikasi</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penelitian</w:t>
      </w:r>
      <w:proofErr w:type="spellEnd"/>
      <w:r w:rsidRPr="009B7685">
        <w:rPr>
          <w:rFonts w:ascii="Bookman Old Style" w:hAnsi="Bookman Old Style" w:cs="Times New Roman"/>
          <w:lang w:val="en-ID"/>
        </w:rPr>
        <w:t xml:space="preserve"> yang </w:t>
      </w:r>
      <w:proofErr w:type="spellStart"/>
      <w:r w:rsidRPr="009B7685">
        <w:rPr>
          <w:rFonts w:ascii="Bookman Old Style" w:hAnsi="Bookman Old Style" w:cs="Times New Roman"/>
          <w:lang w:val="en-ID"/>
        </w:rPr>
        <w:t>digunakan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adalah</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deskriptif</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analitis</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yaitu</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penelitian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untuk</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menggambarkan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masalah</w:t>
      </w:r>
      <w:proofErr w:type="spellEnd"/>
      <w:r w:rsidRPr="009B7685">
        <w:rPr>
          <w:rFonts w:ascii="Bookman Old Style" w:hAnsi="Bookman Old Style" w:cs="Times New Roman"/>
          <w:lang w:val="en-ID"/>
        </w:rPr>
        <w:t xml:space="preserve"> yang </w:t>
      </w:r>
      <w:proofErr w:type="spellStart"/>
      <w:r w:rsidRPr="009B7685">
        <w:rPr>
          <w:rFonts w:ascii="Bookman Old Style" w:hAnsi="Bookman Old Style" w:cs="Times New Roman"/>
          <w:lang w:val="en-ID"/>
        </w:rPr>
        <w:t>ada</w:t>
      </w:r>
      <w:proofErr w:type="spellEnd"/>
      <w:r w:rsidRPr="009B7685">
        <w:rPr>
          <w:rFonts w:ascii="Bookman Old Style" w:hAnsi="Bookman Old Style" w:cs="Times New Roman"/>
          <w:lang w:val="en-ID"/>
        </w:rPr>
        <w:t xml:space="preserve"> pada masa </w:t>
      </w:r>
      <w:proofErr w:type="spellStart"/>
      <w:r w:rsidRPr="009B7685">
        <w:rPr>
          <w:rFonts w:ascii="Bookman Old Style" w:hAnsi="Bookman Old Style" w:cs="Times New Roman"/>
          <w:lang w:val="en-ID"/>
        </w:rPr>
        <w:t>sekarang</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masalah</w:t>
      </w:r>
      <w:proofErr w:type="spellEnd"/>
      <w:r w:rsidRPr="009B7685">
        <w:rPr>
          <w:rFonts w:ascii="Bookman Old Style" w:hAnsi="Bookman Old Style" w:cs="Times New Roman"/>
          <w:lang w:val="en-ID"/>
        </w:rPr>
        <w:t xml:space="preserve"> yang </w:t>
      </w:r>
      <w:proofErr w:type="spellStart"/>
      <w:r w:rsidRPr="009B7685">
        <w:rPr>
          <w:rFonts w:ascii="Bookman Old Style" w:hAnsi="Bookman Old Style" w:cs="Times New Roman"/>
          <w:lang w:val="en-ID"/>
        </w:rPr>
        <w:t>aktual</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dengan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mengumpulkan</w:t>
      </w:r>
      <w:proofErr w:type="spellEnd"/>
      <w:r w:rsidRPr="009B7685">
        <w:rPr>
          <w:rFonts w:ascii="Bookman Old Style" w:hAnsi="Bookman Old Style" w:cs="Times New Roman"/>
          <w:lang w:val="en-ID"/>
        </w:rPr>
        <w:t xml:space="preserve"> data, </w:t>
      </w:r>
      <w:proofErr w:type="spellStart"/>
      <w:r w:rsidRPr="009B7685">
        <w:rPr>
          <w:rFonts w:ascii="Bookman Old Style" w:hAnsi="Bookman Old Style" w:cs="Times New Roman"/>
          <w:lang w:val="en-ID"/>
        </w:rPr>
        <w:t>menyusun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mengklasifikasikan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menganalisis</w:t>
      </w:r>
      <w:proofErr w:type="spellEnd"/>
      <w:r w:rsidRPr="009B7685">
        <w:rPr>
          <w:rFonts w:ascii="Bookman Old Style" w:hAnsi="Bookman Old Style" w:cs="Times New Roman"/>
          <w:lang w:val="en-ID"/>
        </w:rPr>
        <w:t xml:space="preserve">, dan </w:t>
      </w:r>
      <w:proofErr w:type="spellStart"/>
      <w:r w:rsidRPr="009B7685">
        <w:rPr>
          <w:rFonts w:ascii="Bookman Old Style" w:hAnsi="Bookman Old Style" w:cs="Times New Roman"/>
          <w:lang w:val="en-ID"/>
        </w:rPr>
        <w:t>menginterpretasikan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Deskriptif</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bertujuan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memaparkan</w:t>
      </w:r>
      <w:proofErr w:type="spellEnd"/>
      <w:r w:rsidRPr="009B7685">
        <w:rPr>
          <w:rFonts w:ascii="Bookman Old Style" w:hAnsi="Bookman Old Style" w:cs="Times New Roman"/>
          <w:lang w:val="en-ID"/>
        </w:rPr>
        <w:t xml:space="preserve"> data </w:t>
      </w:r>
      <w:proofErr w:type="spellStart"/>
      <w:r w:rsidRPr="009B7685">
        <w:rPr>
          <w:rFonts w:ascii="Bookman Old Style" w:hAnsi="Bookman Old Style" w:cs="Times New Roman"/>
          <w:lang w:val="en-ID"/>
        </w:rPr>
        <w:t>hasil</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pengamatan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tanpa</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pengujian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hipotesis-hipotesis</w:t>
      </w:r>
      <w:proofErr w:type="spellEnd"/>
      <w:r>
        <w:rPr>
          <w:rFonts w:ascii="Bookman Old Style" w:hAnsi="Bookman Old Style" w:cs="Times New Roman"/>
        </w:rPr>
        <w:t>.</w:t>
      </w:r>
    </w:p>
    <w:p w14:paraId="3FC7542B" w14:textId="66C89E5D" w:rsidR="009B7685" w:rsidRPr="009B7685" w:rsidRDefault="009B7685" w:rsidP="009B7685">
      <w:pPr>
        <w:spacing w:after="0" w:line="240" w:lineRule="auto"/>
        <w:ind w:firstLine="720"/>
        <w:jc w:val="both"/>
        <w:rPr>
          <w:rFonts w:ascii="Bookman Old Style" w:hAnsi="Bookman Old Style" w:cs="Times New Roman"/>
          <w:lang w:val="en-ID"/>
        </w:rPr>
      </w:pPr>
      <w:proofErr w:type="spellStart"/>
      <w:r w:rsidRPr="009B7685">
        <w:rPr>
          <w:rFonts w:ascii="Bookman Old Style" w:hAnsi="Bookman Old Style" w:cs="Times New Roman"/>
          <w:lang w:val="en-ID"/>
        </w:rPr>
        <w:t>Jenis</w:t>
      </w:r>
      <w:proofErr w:type="spellEnd"/>
      <w:r w:rsidRPr="009B7685">
        <w:rPr>
          <w:rFonts w:ascii="Bookman Old Style" w:hAnsi="Bookman Old Style" w:cs="Times New Roman"/>
          <w:lang w:val="en-ID"/>
        </w:rPr>
        <w:t xml:space="preserve"> data yang </w:t>
      </w:r>
      <w:proofErr w:type="spellStart"/>
      <w:r w:rsidRPr="009B7685">
        <w:rPr>
          <w:rFonts w:ascii="Bookman Old Style" w:hAnsi="Bookman Old Style" w:cs="Times New Roman"/>
          <w:lang w:val="en-ID"/>
        </w:rPr>
        <w:t>dipergunakan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dalam</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peneitian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ini</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yaitu</w:t>
      </w:r>
      <w:proofErr w:type="spellEnd"/>
      <w:r w:rsidRPr="009B7685">
        <w:rPr>
          <w:rFonts w:ascii="Bookman Old Style" w:hAnsi="Bookman Old Style" w:cs="Times New Roman"/>
          <w:lang w:val="en-ID"/>
        </w:rPr>
        <w:t xml:space="preserve"> data </w:t>
      </w:r>
      <w:proofErr w:type="spellStart"/>
      <w:r w:rsidRPr="009B7685">
        <w:rPr>
          <w:rFonts w:ascii="Bookman Old Style" w:hAnsi="Bookman Old Style" w:cs="Times New Roman"/>
          <w:lang w:val="en-ID"/>
        </w:rPr>
        <w:t>sekunder</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ya</w:t>
      </w:r>
      <w:proofErr w:type="spellEnd"/>
      <w:r>
        <w:rPr>
          <w:rFonts w:ascii="Bookman Old Style" w:hAnsi="Bookman Old Style" w:cs="Times New Roman"/>
        </w:rPr>
        <w:t>itu literatur berupa buku dan</w:t>
      </w:r>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peraturan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perundang-undangan</w:t>
      </w:r>
      <w:proofErr w:type="spellEnd"/>
      <w:r w:rsidRPr="009B7685">
        <w:rPr>
          <w:rFonts w:ascii="Bookman Old Style" w:hAnsi="Bookman Old Style" w:cs="Times New Roman"/>
          <w:lang w:val="en-ID"/>
        </w:rPr>
        <w:t xml:space="preserve"> yang </w:t>
      </w:r>
      <w:proofErr w:type="spellStart"/>
      <w:r w:rsidRPr="009B7685">
        <w:rPr>
          <w:rFonts w:ascii="Bookman Old Style" w:hAnsi="Bookman Old Style" w:cs="Times New Roman"/>
          <w:lang w:val="en-ID"/>
        </w:rPr>
        <w:t>memiliki</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relevansi</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dengan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fokus</w:t>
      </w:r>
      <w:proofErr w:type="spellEnd"/>
      <w:r w:rsidRPr="009B7685">
        <w:rPr>
          <w:rFonts w:ascii="Bookman Old Style" w:hAnsi="Bookman Old Style" w:cs="Times New Roman"/>
          <w:lang w:val="en-ID"/>
        </w:rPr>
        <w:t xml:space="preserve"> </w:t>
      </w:r>
      <w:r w:rsidR="004751A5">
        <w:rPr>
          <w:rFonts w:ascii="Bookman Old Style" w:hAnsi="Bookman Old Style" w:cs="Times New Roman"/>
        </w:rPr>
        <w:t>penelitian</w:t>
      </w:r>
      <w:r w:rsidRPr="009B7685">
        <w:rPr>
          <w:rFonts w:ascii="Bookman Old Style" w:hAnsi="Bookman Old Style" w:cs="Times New Roman"/>
          <w:bCs/>
          <w:lang w:val="en-ID"/>
        </w:rPr>
        <w:t>.</w:t>
      </w:r>
      <w:r w:rsidRPr="009B7685">
        <w:rPr>
          <w:rFonts w:ascii="Bookman Old Style" w:hAnsi="Bookman Old Style" w:cs="Times New Roman"/>
          <w:lang w:val="sv-SE"/>
        </w:rPr>
        <w:t xml:space="preserve"> Metode analisis data yang digunakan dalam penelitian ini adalah metode kualitatif</w:t>
      </w:r>
      <w:r w:rsidRPr="009B7685">
        <w:rPr>
          <w:rFonts w:ascii="Bookman Old Style" w:hAnsi="Bookman Old Style" w:cs="Times New Roman"/>
          <w:lang w:val="en-ID"/>
        </w:rPr>
        <w:t>.</w:t>
      </w:r>
      <w:r>
        <w:rPr>
          <w:rFonts w:ascii="Bookman Old Style" w:hAnsi="Bookman Old Style" w:cs="Times New Roman"/>
        </w:rPr>
        <w:t xml:space="preserve"> </w:t>
      </w:r>
      <w:proofErr w:type="spellStart"/>
      <w:r w:rsidRPr="009B7685">
        <w:rPr>
          <w:rFonts w:ascii="Bookman Old Style" w:hAnsi="Bookman Old Style" w:cs="Times New Roman"/>
          <w:lang w:val="en-ID"/>
        </w:rPr>
        <w:t>Analisis</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terhadap</w:t>
      </w:r>
      <w:proofErr w:type="spellEnd"/>
      <w:r w:rsidRPr="009B7685">
        <w:rPr>
          <w:rFonts w:ascii="Bookman Old Style" w:hAnsi="Bookman Old Style" w:cs="Times New Roman"/>
          <w:lang w:val="en-ID"/>
        </w:rPr>
        <w:t xml:space="preserve"> data </w:t>
      </w:r>
      <w:proofErr w:type="spellStart"/>
      <w:r w:rsidRPr="009B7685">
        <w:rPr>
          <w:rFonts w:ascii="Bookman Old Style" w:hAnsi="Bookman Old Style" w:cs="Times New Roman"/>
          <w:lang w:val="en-ID"/>
        </w:rPr>
        <w:t>sekunder</w:t>
      </w:r>
      <w:proofErr w:type="spellEnd"/>
      <w:r w:rsidRPr="009B7685">
        <w:rPr>
          <w:rFonts w:ascii="Bookman Old Style" w:hAnsi="Bookman Old Style" w:cs="Times New Roman"/>
          <w:lang w:val="en-ID"/>
        </w:rPr>
        <w:t xml:space="preserve"> yang </w:t>
      </w:r>
      <w:proofErr w:type="spellStart"/>
      <w:r w:rsidRPr="009B7685">
        <w:rPr>
          <w:rFonts w:ascii="Bookman Old Style" w:hAnsi="Bookman Old Style" w:cs="Times New Roman"/>
          <w:lang w:val="en-ID"/>
        </w:rPr>
        <w:t>bersifat</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kualitatif</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tersebut</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dilakukan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dengan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cara</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berlandaskan</w:t>
      </w:r>
      <w:proofErr w:type="spellEnd"/>
      <w:r w:rsidRPr="009B7685">
        <w:rPr>
          <w:rFonts w:ascii="Bookman Old Style" w:hAnsi="Bookman Old Style" w:cs="Times New Roman"/>
          <w:lang w:val="en-ID"/>
        </w:rPr>
        <w:t xml:space="preserve"> pada </w:t>
      </w:r>
      <w:proofErr w:type="spellStart"/>
      <w:r w:rsidRPr="009B7685">
        <w:rPr>
          <w:rFonts w:ascii="Bookman Old Style" w:hAnsi="Bookman Old Style" w:cs="Times New Roman"/>
          <w:lang w:val="en-ID"/>
        </w:rPr>
        <w:t>teori</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hukum</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ataupun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doktrin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hukum</w:t>
      </w:r>
      <w:proofErr w:type="spellEnd"/>
      <w:r w:rsidRPr="009B7685">
        <w:rPr>
          <w:rFonts w:ascii="Bookman Old Style" w:hAnsi="Bookman Old Style" w:cs="Times New Roman"/>
          <w:lang w:val="en-ID"/>
        </w:rPr>
        <w:t xml:space="preserve"> </w:t>
      </w:r>
      <w:r w:rsidR="00927009">
        <w:rPr>
          <w:rFonts w:ascii="Bookman Old Style" w:hAnsi="Bookman Old Style" w:cs="Times New Roman"/>
        </w:rPr>
        <w:t>khususnya hukum Islam</w:t>
      </w:r>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kemudian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diterapkan</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secara</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deduktif</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terhadap</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fokus</w:t>
      </w:r>
      <w:proofErr w:type="spellEnd"/>
      <w:r w:rsidRPr="009B7685">
        <w:rPr>
          <w:rFonts w:ascii="Bookman Old Style" w:hAnsi="Bookman Old Style" w:cs="Times New Roman"/>
          <w:lang w:val="en-ID"/>
        </w:rPr>
        <w:t xml:space="preserve"> </w:t>
      </w:r>
      <w:proofErr w:type="spellStart"/>
      <w:r w:rsidRPr="009B7685">
        <w:rPr>
          <w:rFonts w:ascii="Bookman Old Style" w:hAnsi="Bookman Old Style" w:cs="Times New Roman"/>
          <w:lang w:val="en-ID"/>
        </w:rPr>
        <w:t>permasalahan</w:t>
      </w:r>
      <w:proofErr w:type="spellEnd"/>
      <w:r w:rsidRPr="009B7685">
        <w:rPr>
          <w:rFonts w:ascii="Bookman Old Style" w:hAnsi="Bookman Old Style" w:cs="Times New Roman"/>
          <w:lang w:val="en-ID"/>
        </w:rPr>
        <w:t>.</w:t>
      </w:r>
      <w:r w:rsidRPr="009B7685">
        <w:rPr>
          <w:rFonts w:ascii="Times New Roman" w:hAnsi="Times New Roman" w:cs="Times New Roman"/>
          <w:lang w:val="en-ID"/>
        </w:rPr>
        <w:t xml:space="preserve"> </w:t>
      </w:r>
    </w:p>
    <w:p w14:paraId="4D081E58" w14:textId="77777777" w:rsidR="009B7685" w:rsidRPr="009B7685" w:rsidRDefault="009B7685" w:rsidP="009B7685">
      <w:pPr>
        <w:spacing w:after="0" w:line="240" w:lineRule="auto"/>
        <w:ind w:left="720"/>
        <w:jc w:val="both"/>
        <w:rPr>
          <w:rFonts w:ascii="Bookman Old Style" w:hAnsi="Bookman Old Style"/>
        </w:rPr>
      </w:pPr>
    </w:p>
    <w:p w14:paraId="6304B861" w14:textId="37BAE954" w:rsidR="00BE3D2B" w:rsidRPr="00BE3D2B" w:rsidRDefault="00BE3D2B" w:rsidP="00BE3D2B">
      <w:pPr>
        <w:pStyle w:val="ListParagraph"/>
        <w:numPr>
          <w:ilvl w:val="0"/>
          <w:numId w:val="6"/>
        </w:numPr>
        <w:spacing w:after="0" w:line="240" w:lineRule="auto"/>
        <w:jc w:val="both"/>
        <w:rPr>
          <w:rFonts w:ascii="Bookman Old Style" w:hAnsi="Bookman Old Style"/>
          <w:b/>
          <w:bCs/>
        </w:rPr>
      </w:pPr>
      <w:r>
        <w:rPr>
          <w:rFonts w:ascii="Bookman Old Style" w:hAnsi="Bookman Old Style"/>
          <w:b/>
          <w:bCs/>
        </w:rPr>
        <w:t>PEMBAHASAN</w:t>
      </w:r>
    </w:p>
    <w:p w14:paraId="6FE422F2" w14:textId="547ECD45" w:rsidR="007176B2" w:rsidRPr="00CE696F" w:rsidRDefault="00BE3D2B" w:rsidP="00CE696F">
      <w:pPr>
        <w:pStyle w:val="ListParagraph"/>
        <w:numPr>
          <w:ilvl w:val="0"/>
          <w:numId w:val="1"/>
        </w:numPr>
        <w:spacing w:after="0" w:line="240" w:lineRule="auto"/>
        <w:jc w:val="both"/>
        <w:rPr>
          <w:rFonts w:ascii="Bookman Old Style" w:hAnsi="Bookman Old Style" w:cstheme="majorBidi"/>
          <w:b/>
          <w:bCs/>
          <w:lang w:val="en-US"/>
        </w:rPr>
      </w:pPr>
      <w:r>
        <w:rPr>
          <w:rFonts w:ascii="Bookman Old Style" w:hAnsi="Bookman Old Style" w:cstheme="majorBidi"/>
          <w:b/>
          <w:bCs/>
        </w:rPr>
        <w:t>Istilah</w:t>
      </w:r>
      <w:r w:rsidR="007176B2" w:rsidRPr="00CE696F">
        <w:rPr>
          <w:rFonts w:ascii="Bookman Old Style" w:hAnsi="Bookman Old Style" w:cstheme="majorBidi"/>
          <w:b/>
          <w:bCs/>
          <w:lang w:val="en-US"/>
        </w:rPr>
        <w:t xml:space="preserve"> </w:t>
      </w:r>
      <w:r w:rsidR="00E55EDA">
        <w:rPr>
          <w:rFonts w:ascii="Bookman Old Style" w:hAnsi="Bookman Old Style" w:cstheme="majorBidi"/>
          <w:b/>
          <w:bCs/>
        </w:rPr>
        <w:t>dan Landasan Yuridis</w:t>
      </w:r>
      <w:r w:rsidR="00EF620A">
        <w:rPr>
          <w:rFonts w:ascii="Bookman Old Style" w:hAnsi="Bookman Old Style" w:cstheme="majorBidi"/>
          <w:b/>
          <w:bCs/>
        </w:rPr>
        <w:t xml:space="preserve"> Perbuatan</w:t>
      </w:r>
      <w:r w:rsidR="00E55EDA">
        <w:rPr>
          <w:rFonts w:ascii="Bookman Old Style" w:hAnsi="Bookman Old Style" w:cstheme="majorBidi"/>
          <w:b/>
          <w:bCs/>
        </w:rPr>
        <w:t xml:space="preserve"> </w:t>
      </w:r>
      <w:proofErr w:type="spellStart"/>
      <w:r w:rsidR="007176B2" w:rsidRPr="00CE696F">
        <w:rPr>
          <w:rFonts w:ascii="Bookman Old Style" w:hAnsi="Bookman Old Style" w:cstheme="majorBidi"/>
          <w:b/>
          <w:bCs/>
          <w:lang w:val="en-US"/>
        </w:rPr>
        <w:t>Melawan</w:t>
      </w:r>
      <w:proofErr w:type="spellEnd"/>
      <w:r w:rsidR="007176B2" w:rsidRPr="00CE696F">
        <w:rPr>
          <w:rFonts w:ascii="Bookman Old Style" w:hAnsi="Bookman Old Style" w:cstheme="majorBidi"/>
          <w:b/>
          <w:bCs/>
          <w:lang w:val="en-US"/>
        </w:rPr>
        <w:t xml:space="preserve"> </w:t>
      </w:r>
      <w:proofErr w:type="spellStart"/>
      <w:r w:rsidR="007176B2" w:rsidRPr="00CE696F">
        <w:rPr>
          <w:rFonts w:ascii="Bookman Old Style" w:hAnsi="Bookman Old Style" w:cstheme="majorBidi"/>
          <w:b/>
          <w:bCs/>
          <w:lang w:val="en-US"/>
        </w:rPr>
        <w:t>Hukum</w:t>
      </w:r>
      <w:proofErr w:type="spellEnd"/>
      <w:r w:rsidR="007176B2" w:rsidRPr="00CE696F">
        <w:rPr>
          <w:rFonts w:ascii="Bookman Old Style" w:hAnsi="Bookman Old Style" w:cstheme="majorBidi"/>
          <w:b/>
          <w:bCs/>
          <w:lang w:val="en-US"/>
        </w:rPr>
        <w:t xml:space="preserve"> (PMH) </w:t>
      </w:r>
      <w:proofErr w:type="spellStart"/>
      <w:r w:rsidR="007176B2" w:rsidRPr="00CE696F">
        <w:rPr>
          <w:rFonts w:ascii="Bookman Old Style" w:hAnsi="Bookman Old Style" w:cstheme="majorBidi"/>
          <w:b/>
          <w:bCs/>
          <w:lang w:val="en-US"/>
        </w:rPr>
        <w:t>dalam</w:t>
      </w:r>
      <w:proofErr w:type="spellEnd"/>
      <w:r w:rsidR="007176B2" w:rsidRPr="00CE696F">
        <w:rPr>
          <w:rFonts w:ascii="Bookman Old Style" w:hAnsi="Bookman Old Style" w:cstheme="majorBidi"/>
          <w:b/>
          <w:bCs/>
          <w:lang w:val="en-US"/>
        </w:rPr>
        <w:t xml:space="preserve"> </w:t>
      </w:r>
      <w:proofErr w:type="spellStart"/>
      <w:r w:rsidR="007176B2" w:rsidRPr="00CE696F">
        <w:rPr>
          <w:rFonts w:ascii="Bookman Old Style" w:hAnsi="Bookman Old Style" w:cstheme="majorBidi"/>
          <w:b/>
          <w:bCs/>
          <w:lang w:val="en-US"/>
        </w:rPr>
        <w:t>Hukum</w:t>
      </w:r>
      <w:proofErr w:type="spellEnd"/>
      <w:r w:rsidR="007176B2" w:rsidRPr="00CE696F">
        <w:rPr>
          <w:rFonts w:ascii="Bookman Old Style" w:hAnsi="Bookman Old Style" w:cstheme="majorBidi"/>
          <w:b/>
          <w:bCs/>
          <w:lang w:val="en-US"/>
        </w:rPr>
        <w:t xml:space="preserve"> </w:t>
      </w:r>
      <w:r>
        <w:rPr>
          <w:rFonts w:ascii="Bookman Old Style" w:hAnsi="Bookman Old Style" w:cstheme="majorBidi"/>
          <w:b/>
          <w:bCs/>
        </w:rPr>
        <w:t>Ekonomi</w:t>
      </w:r>
      <w:r w:rsidR="007176B2" w:rsidRPr="00CE696F">
        <w:rPr>
          <w:rFonts w:ascii="Bookman Old Style" w:hAnsi="Bookman Old Style" w:cstheme="majorBidi"/>
          <w:b/>
          <w:bCs/>
          <w:lang w:val="en-US"/>
        </w:rPr>
        <w:t xml:space="preserve"> Syariah</w:t>
      </w:r>
    </w:p>
    <w:p w14:paraId="1E1D986A" w14:textId="3C6821B0" w:rsidR="007176B2" w:rsidRPr="00CE696F" w:rsidRDefault="007176B2" w:rsidP="00CE696F">
      <w:pPr>
        <w:pStyle w:val="ListParagraph"/>
        <w:spacing w:after="0" w:line="240" w:lineRule="auto"/>
        <w:ind w:left="0" w:firstLine="720"/>
        <w:jc w:val="both"/>
        <w:rPr>
          <w:rFonts w:ascii="Bookman Old Style" w:hAnsi="Bookman Old Style" w:cstheme="majorBidi"/>
          <w:lang w:val="en-US"/>
        </w:rPr>
      </w:pPr>
      <w:proofErr w:type="spellStart"/>
      <w:r w:rsidRPr="00CE696F">
        <w:rPr>
          <w:rFonts w:ascii="Bookman Old Style" w:hAnsi="Bookman Old Style" w:cstheme="majorBidi"/>
          <w:lang w:val="en-US"/>
        </w:rPr>
        <w:t>Dalam</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referensi</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hukum</w:t>
      </w:r>
      <w:proofErr w:type="spellEnd"/>
      <w:r w:rsidRPr="00CE696F">
        <w:rPr>
          <w:rFonts w:ascii="Bookman Old Style" w:hAnsi="Bookman Old Style" w:cstheme="majorBidi"/>
          <w:lang w:val="en-US"/>
        </w:rPr>
        <w:t xml:space="preserve"> Islam </w:t>
      </w:r>
      <w:proofErr w:type="spellStart"/>
      <w:r w:rsidRPr="00CE696F">
        <w:rPr>
          <w:rFonts w:ascii="Bookman Old Style" w:hAnsi="Bookman Old Style" w:cstheme="majorBidi"/>
          <w:lang w:val="en-US"/>
        </w:rPr>
        <w:t>klasik</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fikih</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belum</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ditemukan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kesepakatan</w:t>
      </w:r>
      <w:proofErr w:type="spellEnd"/>
      <w:r w:rsidRPr="00CE696F">
        <w:rPr>
          <w:rFonts w:ascii="Bookman Old Style" w:hAnsi="Bookman Old Style" w:cstheme="majorBidi"/>
          <w:lang w:val="en-US"/>
        </w:rPr>
        <w:t xml:space="preserve"> para </w:t>
      </w:r>
      <w:proofErr w:type="spellStart"/>
      <w:r w:rsidRPr="00CE696F">
        <w:rPr>
          <w:rFonts w:ascii="Bookman Old Style" w:hAnsi="Bookman Old Style" w:cstheme="majorBidi"/>
          <w:lang w:val="en-US"/>
        </w:rPr>
        <w:t>ahli</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hukum</w:t>
      </w:r>
      <w:proofErr w:type="spellEnd"/>
      <w:r w:rsidRPr="00CE696F">
        <w:rPr>
          <w:rFonts w:ascii="Bookman Old Style" w:hAnsi="Bookman Old Style" w:cstheme="majorBidi"/>
          <w:lang w:val="en-US"/>
        </w:rPr>
        <w:t xml:space="preserve"> </w:t>
      </w:r>
      <w:r w:rsidR="00426B3F">
        <w:rPr>
          <w:rFonts w:ascii="Bookman Old Style" w:hAnsi="Bookman Old Style" w:cstheme="majorBidi"/>
        </w:rPr>
        <w:t xml:space="preserve">Islam </w:t>
      </w:r>
      <w:proofErr w:type="spellStart"/>
      <w:r w:rsidRPr="00CE696F">
        <w:rPr>
          <w:rFonts w:ascii="Bookman Old Style" w:hAnsi="Bookman Old Style" w:cstheme="majorBidi"/>
          <w:lang w:val="en-US"/>
        </w:rPr>
        <w:t>tentang</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istilah</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maupun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definisi</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operasional</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perbuatan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melawan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hukum</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Syamsul</w:t>
      </w:r>
      <w:proofErr w:type="spellEnd"/>
      <w:r w:rsidRPr="00CE696F">
        <w:rPr>
          <w:rFonts w:ascii="Bookman Old Style" w:hAnsi="Bookman Old Style" w:cstheme="majorBidi"/>
          <w:lang w:val="en-US"/>
        </w:rPr>
        <w:t xml:space="preserve"> Anwar </w:t>
      </w:r>
      <w:proofErr w:type="spellStart"/>
      <w:r w:rsidRPr="00CE696F">
        <w:rPr>
          <w:rFonts w:ascii="Bookman Old Style" w:hAnsi="Bookman Old Style" w:cstheme="majorBidi"/>
          <w:lang w:val="en-US"/>
        </w:rPr>
        <w:t>menyebut</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istilah</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perbuatan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melawan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hukum</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dalam</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perspektif</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hukum</w:t>
      </w:r>
      <w:proofErr w:type="spellEnd"/>
      <w:r w:rsidRPr="00CE696F">
        <w:rPr>
          <w:rFonts w:ascii="Bookman Old Style" w:hAnsi="Bookman Old Style" w:cstheme="majorBidi"/>
          <w:lang w:val="en-US"/>
        </w:rPr>
        <w:t xml:space="preserve"> </w:t>
      </w:r>
      <w:r w:rsidR="00534AD1">
        <w:rPr>
          <w:rFonts w:ascii="Bookman Old Style" w:hAnsi="Bookman Old Style" w:cstheme="majorBidi"/>
        </w:rPr>
        <w:t>ekonomi</w:t>
      </w:r>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syariah</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dengan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istilah</w:t>
      </w:r>
      <w:proofErr w:type="spellEnd"/>
      <w:r w:rsidRPr="00CE696F">
        <w:rPr>
          <w:rFonts w:ascii="Bookman Old Style" w:hAnsi="Bookman Old Style" w:cstheme="majorBidi"/>
          <w:lang w:val="en-US"/>
        </w:rPr>
        <w:t xml:space="preserve"> </w:t>
      </w:r>
      <w:r w:rsidRPr="00CE696F">
        <w:rPr>
          <w:rFonts w:ascii="Bookman Old Style" w:hAnsi="Bookman Old Style" w:cstheme="majorBidi"/>
          <w:i/>
          <w:iCs/>
          <w:lang w:val="en-US"/>
        </w:rPr>
        <w:t>al-</w:t>
      </w:r>
      <w:proofErr w:type="spellStart"/>
      <w:r w:rsidRPr="00CE696F">
        <w:rPr>
          <w:rFonts w:ascii="Bookman Old Style" w:hAnsi="Bookman Old Style" w:cstheme="majorBidi"/>
          <w:i/>
          <w:iCs/>
          <w:lang w:val="en-US"/>
        </w:rPr>
        <w:t>fi’lu</w:t>
      </w:r>
      <w:proofErr w:type="spellEnd"/>
      <w:r w:rsidRPr="00CE696F">
        <w:rPr>
          <w:rFonts w:ascii="Bookman Old Style" w:hAnsi="Bookman Old Style" w:cstheme="majorBidi"/>
          <w:i/>
          <w:iCs/>
          <w:lang w:val="en-US"/>
        </w:rPr>
        <w:t xml:space="preserve"> al-</w:t>
      </w:r>
      <w:proofErr w:type="spellStart"/>
      <w:r w:rsidRPr="00CE696F">
        <w:rPr>
          <w:rFonts w:ascii="Bookman Old Style" w:hAnsi="Bookman Old Style" w:cstheme="majorBidi"/>
          <w:i/>
          <w:iCs/>
          <w:lang w:val="en-US"/>
        </w:rPr>
        <w:t>dharar</w:t>
      </w:r>
      <w:proofErr w:type="spellEnd"/>
      <w:r w:rsidRPr="00CE696F">
        <w:rPr>
          <w:rFonts w:ascii="Bookman Old Style" w:hAnsi="Bookman Old Style" w:cstheme="majorBidi"/>
          <w:lang w:val="en-US"/>
        </w:rPr>
        <w:t>.</w:t>
      </w:r>
      <w:r w:rsidR="005148C4">
        <w:rPr>
          <w:rFonts w:ascii="Bookman Old Style" w:hAnsi="Bookman Old Style" w:cstheme="majorBidi"/>
          <w:lang w:val="en-US"/>
        </w:rPr>
        <w:fldChar w:fldCharType="begin" w:fldLock="1"/>
      </w:r>
      <w:r w:rsidR="004D14E6">
        <w:rPr>
          <w:rFonts w:ascii="Bookman Old Style" w:hAnsi="Bookman Old Style" w:cstheme="majorBidi"/>
          <w:lang w:val="en-US"/>
        </w:rPr>
        <w:instrText>ADDIN CSL_CITATION {"citationItems":[{"id":"ITEM-1","itemData":{"author":[{"dropping-particle":"","family":"Syamsul Anwar","given":"","non-dropping-particle":"","parse-names":false,"suffix":""}],"id":"ITEM-1","issued":{"date-parts":[["2017"]]},"number-of-pages":"330","publisher":"PT RajaGrafindo Persada","publisher-place":"Jakarta","title":"Hukum Perjanjian Syariah: Studi tentang Teori Akad dalam Fikih Muamalat","type":"book"},"uris":["http://www.mendeley.com/documents/?uuid=db31a457-4cdb-4acb-a47f-3917a7802ea2"]}],"mendeley":{"formattedCitation":"(Syamsul Anwar, 2017)","plainTextFormattedCitation":"(Syamsul Anwar, 2017)","previouslyFormattedCitation":"(Syamsul Anwar, 2017)"},"properties":{"noteIndex":0},"schema":"https://github.com/citation-style-language/schema/raw/master/csl-citation.json"}</w:instrText>
      </w:r>
      <w:r w:rsidR="005148C4">
        <w:rPr>
          <w:rFonts w:ascii="Bookman Old Style" w:hAnsi="Bookman Old Style" w:cstheme="majorBidi"/>
          <w:lang w:val="en-US"/>
        </w:rPr>
        <w:fldChar w:fldCharType="separate"/>
      </w:r>
      <w:r w:rsidR="005148C4" w:rsidRPr="005148C4">
        <w:rPr>
          <w:rFonts w:ascii="Bookman Old Style" w:hAnsi="Bookman Old Style" w:cstheme="majorBidi"/>
          <w:noProof/>
          <w:lang w:val="en-US"/>
        </w:rPr>
        <w:t>(</w:t>
      </w:r>
      <w:proofErr w:type="spellStart"/>
      <w:r w:rsidR="005148C4" w:rsidRPr="005148C4">
        <w:rPr>
          <w:rFonts w:ascii="Bookman Old Style" w:hAnsi="Bookman Old Style" w:cstheme="majorBidi"/>
          <w:noProof/>
          <w:lang w:val="en-US"/>
        </w:rPr>
        <w:t>Syamsul</w:t>
      </w:r>
      <w:proofErr w:type="spellEnd"/>
      <w:r w:rsidR="005148C4" w:rsidRPr="005148C4">
        <w:rPr>
          <w:rFonts w:ascii="Bookman Old Style" w:hAnsi="Bookman Old Style" w:cstheme="majorBidi"/>
          <w:noProof/>
          <w:lang w:val="en-US"/>
        </w:rPr>
        <w:t xml:space="preserve"> Anwar, 2017)</w:t>
      </w:r>
      <w:r w:rsidR="005148C4">
        <w:rPr>
          <w:rFonts w:ascii="Bookman Old Style" w:hAnsi="Bookman Old Style" w:cstheme="majorBidi"/>
          <w:lang w:val="en-US"/>
        </w:rPr>
        <w:fldChar w:fldCharType="end"/>
      </w:r>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Istilah</w:t>
      </w:r>
      <w:proofErr w:type="spellEnd"/>
      <w:r w:rsidRPr="00CE696F">
        <w:rPr>
          <w:rFonts w:ascii="Bookman Old Style" w:hAnsi="Bookman Old Style" w:cstheme="majorBidi"/>
          <w:lang w:val="en-US"/>
        </w:rPr>
        <w:t xml:space="preserve"> yang </w:t>
      </w:r>
      <w:proofErr w:type="spellStart"/>
      <w:r w:rsidRPr="00CE696F">
        <w:rPr>
          <w:rFonts w:ascii="Bookman Old Style" w:hAnsi="Bookman Old Style" w:cstheme="majorBidi"/>
          <w:lang w:val="en-US"/>
        </w:rPr>
        <w:t>sama</w:t>
      </w:r>
      <w:proofErr w:type="spellEnd"/>
      <w:r w:rsidRPr="00CE696F">
        <w:rPr>
          <w:rFonts w:ascii="Bookman Old Style" w:hAnsi="Bookman Old Style" w:cstheme="majorBidi"/>
          <w:lang w:val="en-US"/>
        </w:rPr>
        <w:t xml:space="preserve"> juga </w:t>
      </w:r>
      <w:proofErr w:type="spellStart"/>
      <w:r w:rsidRPr="00CE696F">
        <w:rPr>
          <w:rFonts w:ascii="Bookman Old Style" w:hAnsi="Bookman Old Style" w:cstheme="majorBidi"/>
          <w:lang w:val="en-US"/>
        </w:rPr>
        <w:t>digunakan</w:t>
      </w:r>
      <w:proofErr w:type="spellEnd"/>
      <w:r w:rsidRPr="00CE696F">
        <w:rPr>
          <w:rFonts w:ascii="Bookman Old Style" w:hAnsi="Bookman Old Style" w:cstheme="majorBidi"/>
          <w:lang w:val="en-US"/>
        </w:rPr>
        <w:t xml:space="preserve"> oleh </w:t>
      </w:r>
      <w:proofErr w:type="spellStart"/>
      <w:r w:rsidRPr="00CE696F">
        <w:rPr>
          <w:rFonts w:ascii="Bookman Old Style" w:hAnsi="Bookman Old Style" w:cstheme="majorBidi"/>
          <w:lang w:val="en-US"/>
        </w:rPr>
        <w:t>Dimyauddin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Djuwaini</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ketika</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menyebut</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perbuatan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melawan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hukum</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dengan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istilah</w:t>
      </w:r>
      <w:proofErr w:type="spellEnd"/>
      <w:r w:rsidRPr="00CE696F">
        <w:rPr>
          <w:rFonts w:ascii="Bookman Old Style" w:hAnsi="Bookman Old Style" w:cstheme="majorBidi"/>
          <w:lang w:val="en-US"/>
        </w:rPr>
        <w:t xml:space="preserve"> </w:t>
      </w:r>
      <w:r w:rsidRPr="00CE696F">
        <w:rPr>
          <w:rFonts w:ascii="Bookman Old Style" w:hAnsi="Bookman Old Style" w:cstheme="majorBidi"/>
          <w:i/>
          <w:iCs/>
          <w:lang w:val="en-US"/>
        </w:rPr>
        <w:t>al-</w:t>
      </w:r>
      <w:proofErr w:type="spellStart"/>
      <w:r w:rsidRPr="00CE696F">
        <w:rPr>
          <w:rFonts w:ascii="Bookman Old Style" w:hAnsi="Bookman Old Style" w:cstheme="majorBidi"/>
          <w:i/>
          <w:iCs/>
          <w:lang w:val="en-US"/>
        </w:rPr>
        <w:t>fi’lu</w:t>
      </w:r>
      <w:proofErr w:type="spellEnd"/>
      <w:r w:rsidRPr="00CE696F">
        <w:rPr>
          <w:rFonts w:ascii="Bookman Old Style" w:hAnsi="Bookman Old Style" w:cstheme="majorBidi"/>
          <w:i/>
          <w:iCs/>
          <w:lang w:val="en-US"/>
        </w:rPr>
        <w:t xml:space="preserve"> al-</w:t>
      </w:r>
      <w:proofErr w:type="spellStart"/>
      <w:r w:rsidRPr="00CE696F">
        <w:rPr>
          <w:rFonts w:ascii="Bookman Old Style" w:hAnsi="Bookman Old Style" w:cstheme="majorBidi"/>
          <w:i/>
          <w:iCs/>
          <w:lang w:val="en-US"/>
        </w:rPr>
        <w:t>dharar</w:t>
      </w:r>
      <w:proofErr w:type="spellEnd"/>
      <w:r w:rsidRPr="00CE696F">
        <w:rPr>
          <w:rFonts w:ascii="Bookman Old Style" w:hAnsi="Bookman Old Style" w:cstheme="majorBidi"/>
          <w:lang w:val="en-US"/>
        </w:rPr>
        <w:t>.</w:t>
      </w:r>
      <w:r w:rsidR="004D14E6">
        <w:rPr>
          <w:rFonts w:ascii="Bookman Old Style" w:hAnsi="Bookman Old Style" w:cstheme="majorBidi"/>
          <w:lang w:val="en-US"/>
        </w:rPr>
        <w:fldChar w:fldCharType="begin" w:fldLock="1"/>
      </w:r>
      <w:r w:rsidR="00552984">
        <w:rPr>
          <w:rFonts w:ascii="Bookman Old Style" w:hAnsi="Bookman Old Style" w:cstheme="majorBidi"/>
          <w:lang w:val="en-US"/>
        </w:rPr>
        <w:instrText>ADDIN CSL_CITATION {"citationItems":[{"id":"ITEM-1","itemData":{"author":[{"dropping-particle":"","family":"Dimyauddin Djuwaini","given":"","non-dropping-particle":"","parse-names":false,"suffix":""}],"id":"ITEM-1","issued":{"date-parts":[["2015"]]},"number-of-pages":"12","publisher":"Pustaka Pelajar","publisher-place":"Yogyakarta","title":"Pengantar Fiqh Muamalah","type":"book"},"uris":["http://www.mendeley.com/documents/?uuid=0ac94b3f-433d-45f8-9a1c-782dcb218335"]}],"mendeley":{"formattedCitation":"(Dimyauddin Djuwaini, 2015)","plainTextFormattedCitation":"(Dimyauddin Djuwaini, 2015)","previouslyFormattedCitation":"(Dimyauddin Djuwaini, 2015)"},"properties":{"noteIndex":0},"schema":"https://github.com/citation-style-language/schema/raw/master/csl-citation.json"}</w:instrText>
      </w:r>
      <w:r w:rsidR="004D14E6">
        <w:rPr>
          <w:rFonts w:ascii="Bookman Old Style" w:hAnsi="Bookman Old Style" w:cstheme="majorBidi"/>
          <w:lang w:val="en-US"/>
        </w:rPr>
        <w:fldChar w:fldCharType="separate"/>
      </w:r>
      <w:r w:rsidR="004D14E6" w:rsidRPr="004D14E6">
        <w:rPr>
          <w:rFonts w:ascii="Bookman Old Style" w:hAnsi="Bookman Old Style" w:cstheme="majorBidi"/>
          <w:noProof/>
          <w:lang w:val="en-US"/>
        </w:rPr>
        <w:t>(</w:t>
      </w:r>
      <w:proofErr w:type="spellStart"/>
      <w:r w:rsidR="004D14E6" w:rsidRPr="004D14E6">
        <w:rPr>
          <w:rFonts w:ascii="Bookman Old Style" w:hAnsi="Bookman Old Style" w:cstheme="majorBidi"/>
          <w:noProof/>
          <w:lang w:val="en-US"/>
        </w:rPr>
        <w:t>Dimyauddin</w:t>
      </w:r>
      <w:proofErr w:type="spellEnd"/>
      <w:r w:rsidR="004D14E6" w:rsidRPr="004D14E6">
        <w:rPr>
          <w:rFonts w:ascii="Bookman Old Style" w:hAnsi="Bookman Old Style" w:cstheme="majorBidi"/>
          <w:noProof/>
          <w:lang w:val="en-US"/>
        </w:rPr>
        <w:t xml:space="preserve"> Djuwaini, 2015)</w:t>
      </w:r>
      <w:r w:rsidR="004D14E6">
        <w:rPr>
          <w:rFonts w:ascii="Bookman Old Style" w:hAnsi="Bookman Old Style" w:cstheme="majorBidi"/>
          <w:lang w:val="en-US"/>
        </w:rPr>
        <w:fldChar w:fldCharType="end"/>
      </w:r>
    </w:p>
    <w:p w14:paraId="706CE476" w14:textId="12E9E859" w:rsidR="007176B2" w:rsidRPr="00CE696F" w:rsidRDefault="007176B2" w:rsidP="00CE696F">
      <w:pPr>
        <w:pStyle w:val="ListParagraph"/>
        <w:spacing w:after="0" w:line="240" w:lineRule="auto"/>
        <w:ind w:left="0" w:firstLine="720"/>
        <w:jc w:val="both"/>
        <w:rPr>
          <w:rFonts w:ascii="Bookman Old Style" w:hAnsi="Bookman Old Style" w:cstheme="majorBidi"/>
          <w:lang w:val="en-US"/>
        </w:rPr>
      </w:pPr>
      <w:proofErr w:type="spellStart"/>
      <w:r w:rsidRPr="00CE696F">
        <w:rPr>
          <w:rFonts w:ascii="Bookman Old Style" w:hAnsi="Bookman Old Style" w:cstheme="majorBidi"/>
          <w:lang w:val="en-US"/>
        </w:rPr>
        <w:t>Secara</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harfiah</w:t>
      </w:r>
      <w:proofErr w:type="spellEnd"/>
      <w:r w:rsidRPr="00CE696F">
        <w:rPr>
          <w:rFonts w:ascii="Bookman Old Style" w:hAnsi="Bookman Old Style" w:cstheme="majorBidi"/>
          <w:lang w:val="en-US"/>
        </w:rPr>
        <w:t xml:space="preserve">, </w:t>
      </w:r>
      <w:r w:rsidRPr="00CE696F">
        <w:rPr>
          <w:rFonts w:ascii="Bookman Old Style" w:hAnsi="Bookman Old Style" w:cstheme="majorBidi"/>
          <w:i/>
          <w:iCs/>
          <w:lang w:val="en-US"/>
        </w:rPr>
        <w:t>al-</w:t>
      </w:r>
      <w:proofErr w:type="spellStart"/>
      <w:r w:rsidRPr="00CE696F">
        <w:rPr>
          <w:rFonts w:ascii="Bookman Old Style" w:hAnsi="Bookman Old Style" w:cstheme="majorBidi"/>
          <w:i/>
          <w:iCs/>
          <w:lang w:val="en-US"/>
        </w:rPr>
        <w:t>fi’lu</w:t>
      </w:r>
      <w:proofErr w:type="spellEnd"/>
      <w:r w:rsidRPr="00CE696F">
        <w:rPr>
          <w:rFonts w:ascii="Bookman Old Style" w:hAnsi="Bookman Old Style" w:cstheme="majorBidi"/>
          <w:i/>
          <w:iCs/>
          <w:lang w:val="en-US"/>
        </w:rPr>
        <w:t xml:space="preserve"> al-</w:t>
      </w:r>
      <w:proofErr w:type="spellStart"/>
      <w:r w:rsidRPr="00CE696F">
        <w:rPr>
          <w:rFonts w:ascii="Bookman Old Style" w:hAnsi="Bookman Old Style" w:cstheme="majorBidi"/>
          <w:i/>
          <w:iCs/>
          <w:lang w:val="en-US"/>
        </w:rPr>
        <w:t>dharar</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lang w:val="en-US"/>
        </w:rPr>
        <w:t>terdiri</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dari</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dua</w:t>
      </w:r>
      <w:proofErr w:type="spellEnd"/>
      <w:r w:rsidRPr="00CE696F">
        <w:rPr>
          <w:rFonts w:ascii="Bookman Old Style" w:hAnsi="Bookman Old Style" w:cstheme="majorBidi"/>
          <w:lang w:val="en-US"/>
        </w:rPr>
        <w:t xml:space="preserve"> kata </w:t>
      </w:r>
      <w:proofErr w:type="spellStart"/>
      <w:r w:rsidRPr="00CE696F">
        <w:rPr>
          <w:rFonts w:ascii="Bookman Old Style" w:hAnsi="Bookman Old Style" w:cstheme="majorBidi"/>
          <w:lang w:val="en-US"/>
        </w:rPr>
        <w:t>yaitu</w:t>
      </w:r>
      <w:proofErr w:type="spellEnd"/>
      <w:r w:rsidRPr="00CE696F">
        <w:rPr>
          <w:rFonts w:ascii="Bookman Old Style" w:hAnsi="Bookman Old Style" w:cstheme="majorBidi"/>
          <w:lang w:val="en-US"/>
        </w:rPr>
        <w:t xml:space="preserve"> </w:t>
      </w:r>
      <w:r w:rsidRPr="00CE696F">
        <w:rPr>
          <w:rFonts w:ascii="Bookman Old Style" w:hAnsi="Bookman Old Style" w:cstheme="majorBidi"/>
          <w:i/>
          <w:iCs/>
          <w:lang w:val="en-US"/>
        </w:rPr>
        <w:t>al-</w:t>
      </w:r>
      <w:proofErr w:type="spellStart"/>
      <w:r w:rsidRPr="00CE696F">
        <w:rPr>
          <w:rFonts w:ascii="Bookman Old Style" w:hAnsi="Bookman Old Style" w:cstheme="majorBidi"/>
          <w:i/>
          <w:iCs/>
          <w:lang w:val="en-US"/>
        </w:rPr>
        <w:t>fi’lu</w:t>
      </w:r>
      <w:proofErr w:type="spellEnd"/>
      <w:r w:rsidRPr="00CE696F">
        <w:rPr>
          <w:rFonts w:ascii="Bookman Old Style" w:hAnsi="Bookman Old Style" w:cstheme="majorBidi"/>
          <w:i/>
          <w:iCs/>
          <w:lang w:val="en-US"/>
        </w:rPr>
        <w:t xml:space="preserve"> </w:t>
      </w:r>
      <w:r w:rsidRPr="00CE696F">
        <w:rPr>
          <w:rFonts w:ascii="Bookman Old Style" w:hAnsi="Bookman Old Style" w:cstheme="majorBidi"/>
          <w:lang w:val="en-US"/>
        </w:rPr>
        <w:t xml:space="preserve">yang </w:t>
      </w:r>
      <w:proofErr w:type="spellStart"/>
      <w:r w:rsidRPr="00CE696F">
        <w:rPr>
          <w:rFonts w:ascii="Bookman Old Style" w:hAnsi="Bookman Old Style" w:cstheme="majorBidi"/>
          <w:lang w:val="en-US"/>
        </w:rPr>
        <w:t>bermakna</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perbuatan</w:t>
      </w:r>
      <w:proofErr w:type="spellEnd"/>
      <w:r w:rsidRPr="00CE696F">
        <w:rPr>
          <w:rFonts w:ascii="Bookman Old Style" w:hAnsi="Bookman Old Style" w:cstheme="majorBidi"/>
          <w:lang w:val="en-US"/>
        </w:rPr>
        <w:t xml:space="preserve"> dan </w:t>
      </w:r>
      <w:r w:rsidRPr="00CE696F">
        <w:rPr>
          <w:rFonts w:ascii="Bookman Old Style" w:hAnsi="Bookman Old Style" w:cstheme="majorBidi"/>
          <w:i/>
          <w:iCs/>
          <w:lang w:val="en-US"/>
        </w:rPr>
        <w:t>al-</w:t>
      </w:r>
      <w:proofErr w:type="spellStart"/>
      <w:r w:rsidRPr="00CE696F">
        <w:rPr>
          <w:rFonts w:ascii="Bookman Old Style" w:hAnsi="Bookman Old Style" w:cstheme="majorBidi"/>
          <w:i/>
          <w:iCs/>
          <w:lang w:val="en-US"/>
        </w:rPr>
        <w:t>dharar</w:t>
      </w:r>
      <w:proofErr w:type="spellEnd"/>
      <w:r w:rsidRPr="00CE696F">
        <w:rPr>
          <w:rFonts w:ascii="Bookman Old Style" w:hAnsi="Bookman Old Style" w:cstheme="majorBidi"/>
          <w:i/>
          <w:iCs/>
          <w:lang w:val="en-US"/>
        </w:rPr>
        <w:t xml:space="preserve"> </w:t>
      </w:r>
      <w:r w:rsidRPr="00CE696F">
        <w:rPr>
          <w:rFonts w:ascii="Bookman Old Style" w:hAnsi="Bookman Old Style" w:cstheme="majorBidi"/>
          <w:lang w:val="en-US"/>
        </w:rPr>
        <w:t xml:space="preserve">yang </w:t>
      </w:r>
      <w:proofErr w:type="spellStart"/>
      <w:r w:rsidRPr="00CE696F">
        <w:rPr>
          <w:rFonts w:ascii="Bookman Old Style" w:hAnsi="Bookman Old Style" w:cstheme="majorBidi"/>
          <w:lang w:val="en-US"/>
        </w:rPr>
        <w:t>bermakna</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merugikan</w:t>
      </w:r>
      <w:proofErr w:type="spellEnd"/>
      <w:r w:rsidRPr="00CE696F">
        <w:rPr>
          <w:rFonts w:ascii="Bookman Old Style" w:hAnsi="Bookman Old Style" w:cstheme="majorBidi"/>
          <w:lang w:val="en-US"/>
        </w:rPr>
        <w:t xml:space="preserve">. Dari </w:t>
      </w:r>
      <w:proofErr w:type="spellStart"/>
      <w:r w:rsidRPr="00CE696F">
        <w:rPr>
          <w:rFonts w:ascii="Bookman Old Style" w:hAnsi="Bookman Old Style" w:cstheme="majorBidi"/>
          <w:lang w:val="en-US"/>
        </w:rPr>
        <w:t>rangkaian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dua</w:t>
      </w:r>
      <w:proofErr w:type="spellEnd"/>
      <w:r w:rsidRPr="00CE696F">
        <w:rPr>
          <w:rFonts w:ascii="Bookman Old Style" w:hAnsi="Bookman Old Style" w:cstheme="majorBidi"/>
          <w:lang w:val="en-US"/>
        </w:rPr>
        <w:t xml:space="preserve"> kata </w:t>
      </w:r>
      <w:proofErr w:type="spellStart"/>
      <w:r w:rsidRPr="00CE696F">
        <w:rPr>
          <w:rFonts w:ascii="Bookman Old Style" w:hAnsi="Bookman Old Style" w:cstheme="majorBidi"/>
          <w:lang w:val="en-US"/>
        </w:rPr>
        <w:t>tersebut</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kemydian</w:t>
      </w:r>
      <w:proofErr w:type="spellEnd"/>
      <w:r w:rsidRPr="00CE696F">
        <w:rPr>
          <w:rFonts w:ascii="Bookman Old Style" w:hAnsi="Bookman Old Style" w:cstheme="majorBidi"/>
          <w:lang w:val="en-US"/>
        </w:rPr>
        <w:t xml:space="preserve"> kata </w:t>
      </w:r>
      <w:r w:rsidRPr="00CE696F">
        <w:rPr>
          <w:rFonts w:ascii="Bookman Old Style" w:hAnsi="Bookman Old Style" w:cstheme="majorBidi"/>
          <w:i/>
          <w:iCs/>
          <w:lang w:val="en-US"/>
        </w:rPr>
        <w:t>al-</w:t>
      </w:r>
      <w:proofErr w:type="spellStart"/>
      <w:r w:rsidRPr="00CE696F">
        <w:rPr>
          <w:rFonts w:ascii="Bookman Old Style" w:hAnsi="Bookman Old Style" w:cstheme="majorBidi"/>
          <w:i/>
          <w:iCs/>
          <w:lang w:val="en-US"/>
        </w:rPr>
        <w:t>fi’lu</w:t>
      </w:r>
      <w:proofErr w:type="spellEnd"/>
      <w:r w:rsidRPr="00CE696F">
        <w:rPr>
          <w:rFonts w:ascii="Bookman Old Style" w:hAnsi="Bookman Old Style" w:cstheme="majorBidi"/>
          <w:i/>
          <w:iCs/>
          <w:lang w:val="en-US"/>
        </w:rPr>
        <w:t xml:space="preserve"> al-</w:t>
      </w:r>
      <w:proofErr w:type="spellStart"/>
      <w:r w:rsidRPr="00CE696F">
        <w:rPr>
          <w:rFonts w:ascii="Bookman Old Style" w:hAnsi="Bookman Old Style" w:cstheme="majorBidi"/>
          <w:i/>
          <w:iCs/>
          <w:lang w:val="en-US"/>
        </w:rPr>
        <w:t>dharar</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lang w:val="en-US"/>
        </w:rPr>
        <w:t>dijadikan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padanan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pengertian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secara</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bahasa</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terhadap</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perbuatan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melawan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hukum</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Semua</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perbuatan</w:t>
      </w:r>
      <w:proofErr w:type="spellEnd"/>
      <w:r w:rsidRPr="00CE696F">
        <w:rPr>
          <w:rFonts w:ascii="Bookman Old Style" w:hAnsi="Bookman Old Style" w:cstheme="majorBidi"/>
          <w:lang w:val="en-US"/>
        </w:rPr>
        <w:t xml:space="preserve"> yang </w:t>
      </w:r>
      <w:proofErr w:type="spellStart"/>
      <w:r w:rsidRPr="00CE696F">
        <w:rPr>
          <w:rFonts w:ascii="Bookman Old Style" w:hAnsi="Bookman Old Style" w:cstheme="majorBidi"/>
          <w:lang w:val="en-US"/>
        </w:rPr>
        <w:t>menyebabkan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merugikan</w:t>
      </w:r>
      <w:proofErr w:type="spellEnd"/>
      <w:r w:rsidRPr="00CE696F">
        <w:rPr>
          <w:rFonts w:ascii="Bookman Old Style" w:hAnsi="Bookman Old Style" w:cstheme="majorBidi"/>
          <w:lang w:val="en-US"/>
        </w:rPr>
        <w:t xml:space="preserve"> orang lain, </w:t>
      </w:r>
      <w:proofErr w:type="spellStart"/>
      <w:r w:rsidRPr="00CE696F">
        <w:rPr>
          <w:rFonts w:ascii="Bookman Old Style" w:hAnsi="Bookman Old Style" w:cstheme="majorBidi"/>
          <w:lang w:val="en-US"/>
        </w:rPr>
        <w:t>masuk</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dalam</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perbuatan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melawan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hukum</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dalam</w:t>
      </w:r>
      <w:proofErr w:type="spellEnd"/>
      <w:r w:rsidRPr="00CE696F">
        <w:rPr>
          <w:rFonts w:ascii="Bookman Old Style" w:hAnsi="Bookman Old Style" w:cstheme="majorBidi"/>
          <w:lang w:val="en-US"/>
        </w:rPr>
        <w:t xml:space="preserve"> Islam. </w:t>
      </w:r>
      <w:proofErr w:type="spellStart"/>
      <w:r w:rsidRPr="00CE696F">
        <w:rPr>
          <w:rFonts w:ascii="Bookman Old Style" w:hAnsi="Bookman Old Style" w:cstheme="majorBidi"/>
          <w:lang w:val="en-US"/>
        </w:rPr>
        <w:t>Akibat</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perbuatan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melawan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hukum</w:t>
      </w:r>
      <w:proofErr w:type="spellEnd"/>
      <w:r w:rsidRPr="00CE696F">
        <w:rPr>
          <w:rFonts w:ascii="Bookman Old Style" w:hAnsi="Bookman Old Style" w:cstheme="majorBidi"/>
          <w:lang w:val="en-US"/>
        </w:rPr>
        <w:t xml:space="preserve"> (</w:t>
      </w:r>
      <w:r w:rsidRPr="00CE696F">
        <w:rPr>
          <w:rFonts w:ascii="Bookman Old Style" w:hAnsi="Bookman Old Style" w:cstheme="majorBidi"/>
          <w:i/>
          <w:iCs/>
          <w:lang w:val="en-US"/>
        </w:rPr>
        <w:t>al-</w:t>
      </w:r>
      <w:proofErr w:type="spellStart"/>
      <w:r w:rsidRPr="00CE696F">
        <w:rPr>
          <w:rFonts w:ascii="Bookman Old Style" w:hAnsi="Bookman Old Style" w:cstheme="majorBidi"/>
          <w:i/>
          <w:iCs/>
          <w:lang w:val="en-US"/>
        </w:rPr>
        <w:t>fi’lu</w:t>
      </w:r>
      <w:proofErr w:type="spellEnd"/>
      <w:r w:rsidRPr="00CE696F">
        <w:rPr>
          <w:rFonts w:ascii="Bookman Old Style" w:hAnsi="Bookman Old Style" w:cstheme="majorBidi"/>
          <w:i/>
          <w:iCs/>
          <w:lang w:val="en-US"/>
        </w:rPr>
        <w:t xml:space="preserve"> al-</w:t>
      </w:r>
      <w:proofErr w:type="spellStart"/>
      <w:r w:rsidRPr="00CE696F">
        <w:rPr>
          <w:rFonts w:ascii="Bookman Old Style" w:hAnsi="Bookman Old Style" w:cstheme="majorBidi"/>
          <w:i/>
          <w:iCs/>
          <w:lang w:val="en-US"/>
        </w:rPr>
        <w:t>dharar</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pelaku</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dapat</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dimintai</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pertanggungjawaban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atas</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perbuatan</w:t>
      </w:r>
      <w:proofErr w:type="spellEnd"/>
      <w:r w:rsidRPr="00CE696F">
        <w:rPr>
          <w:rFonts w:ascii="Bookman Old Style" w:hAnsi="Bookman Old Style" w:cstheme="majorBidi"/>
          <w:lang w:val="en-US"/>
        </w:rPr>
        <w:t xml:space="preserve"> yang </w:t>
      </w:r>
      <w:proofErr w:type="spellStart"/>
      <w:r w:rsidRPr="00CE696F">
        <w:rPr>
          <w:rFonts w:ascii="Bookman Old Style" w:hAnsi="Bookman Old Style" w:cstheme="majorBidi"/>
          <w:lang w:val="en-US"/>
        </w:rPr>
        <w:t>dilakukan</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menjadi</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sebab</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lang w:val="en-US"/>
        </w:rPr>
        <w:t>kerugian</w:t>
      </w:r>
      <w:proofErr w:type="spellEnd"/>
      <w:r w:rsidRPr="00CE696F">
        <w:rPr>
          <w:rFonts w:ascii="Bookman Old Style" w:hAnsi="Bookman Old Style" w:cstheme="majorBidi"/>
          <w:lang w:val="en-US"/>
        </w:rPr>
        <w:t xml:space="preserve"> pada orang lain.</w:t>
      </w:r>
      <w:r w:rsidR="00552984">
        <w:rPr>
          <w:rFonts w:ascii="Bookman Old Style" w:hAnsi="Bookman Old Style" w:cstheme="majorBidi"/>
          <w:lang w:val="en-US"/>
        </w:rPr>
        <w:fldChar w:fldCharType="begin" w:fldLock="1"/>
      </w:r>
      <w:r w:rsidR="00C42B8E">
        <w:rPr>
          <w:rFonts w:ascii="Bookman Old Style" w:hAnsi="Bookman Old Style" w:cstheme="majorBidi"/>
          <w:lang w:val="en-US"/>
        </w:rPr>
        <w:instrText>ADDIN CSL_CITATION {"citationItems":[{"id":"ITEM-1","itemData":{"author":[{"dropping-particle":"","family":"Imron Rosyadi","given":"","non-dropping-particle":"","parse-names":false,"suffix":""}],"id":"ITEM-1","issued":{"date-parts":[["2019"]]},"number-of-pages":"162","publisher":"Kencana Prenada Media Group","publisher-place":"Jakarta","title":"Akad Nominat Syariah: Implementasi dan Penyelesaian Sengketa","type":"book"},"uris":["http://www.mendeley.com/documents/?uuid=b5506990-1584-4b25-bdf3-7d8382617714"]}],"mendeley":{"formattedCitation":"(Imron Rosyadi, 2019)","plainTextFormattedCitation":"(Imron Rosyadi, 2019)","previouslyFormattedCitation":"(Imron Rosyadi, 2019)"},"properties":{"noteIndex":0},"schema":"https://github.com/citation-style-language/schema/raw/master/csl-citation.json"}</w:instrText>
      </w:r>
      <w:r w:rsidR="00552984">
        <w:rPr>
          <w:rFonts w:ascii="Bookman Old Style" w:hAnsi="Bookman Old Style" w:cstheme="majorBidi"/>
          <w:lang w:val="en-US"/>
        </w:rPr>
        <w:fldChar w:fldCharType="separate"/>
      </w:r>
      <w:r w:rsidR="00552984" w:rsidRPr="00552984">
        <w:rPr>
          <w:rFonts w:ascii="Bookman Old Style" w:hAnsi="Bookman Old Style" w:cstheme="majorBidi"/>
          <w:noProof/>
          <w:lang w:val="en-US"/>
        </w:rPr>
        <w:t>(</w:t>
      </w:r>
      <w:proofErr w:type="spellStart"/>
      <w:r w:rsidR="00552984" w:rsidRPr="00552984">
        <w:rPr>
          <w:rFonts w:ascii="Bookman Old Style" w:hAnsi="Bookman Old Style" w:cstheme="majorBidi"/>
          <w:noProof/>
          <w:lang w:val="en-US"/>
        </w:rPr>
        <w:t>Imron</w:t>
      </w:r>
      <w:proofErr w:type="spellEnd"/>
      <w:r w:rsidR="00552984" w:rsidRPr="00552984">
        <w:rPr>
          <w:rFonts w:ascii="Bookman Old Style" w:hAnsi="Bookman Old Style" w:cstheme="majorBidi"/>
          <w:noProof/>
          <w:lang w:val="en-US"/>
        </w:rPr>
        <w:t xml:space="preserve"> Rosyadi, 2019)</w:t>
      </w:r>
      <w:r w:rsidR="00552984">
        <w:rPr>
          <w:rFonts w:ascii="Bookman Old Style" w:hAnsi="Bookman Old Style" w:cstheme="majorBidi"/>
          <w:lang w:val="en-US"/>
        </w:rPr>
        <w:fldChar w:fldCharType="end"/>
      </w:r>
    </w:p>
    <w:p w14:paraId="1C85676C" w14:textId="77777777" w:rsidR="007176B2" w:rsidRPr="00CE696F" w:rsidRDefault="007176B2" w:rsidP="00CE696F">
      <w:pPr>
        <w:pStyle w:val="ListParagraph"/>
        <w:spacing w:after="0" w:line="240" w:lineRule="auto"/>
        <w:ind w:left="0" w:firstLine="720"/>
        <w:jc w:val="both"/>
        <w:rPr>
          <w:rFonts w:ascii="Bookman Old Style" w:hAnsi="Bookman Old Style" w:cstheme="majorBidi"/>
        </w:rPr>
      </w:pPr>
      <w:r w:rsidRPr="00CE696F">
        <w:rPr>
          <w:rFonts w:ascii="Bookman Old Style" w:hAnsi="Bookman Old Style" w:cstheme="majorBidi"/>
        </w:rPr>
        <w:t>Dalam hukum perdata umum, Pasal 1365 dan 1366 KUH Perdata yang selama ini dianggap sebagai dasar perbuatan melawan hukum, tidak memberikan pengertian secara definitif tentang apa itu perbuatan melawan hukum. Pasal 1365 KUHPerdata menjelaskan bahwa “</w:t>
      </w:r>
      <w:r w:rsidRPr="00CE696F">
        <w:rPr>
          <w:rFonts w:ascii="Bookman Old Style" w:hAnsi="Bookman Old Style" w:cstheme="majorBidi"/>
          <w:i/>
          <w:iCs/>
        </w:rPr>
        <w:t>Tiap perbuatan melanggar hukum, yang membawa kerugian kepada orang lain, mewajibkan orang yang karena salahnya menerbitkan kerugian itu, mengganti kerugian tersebut”</w:t>
      </w:r>
      <w:r w:rsidRPr="00CE696F">
        <w:rPr>
          <w:rFonts w:ascii="Bookman Old Style" w:hAnsi="Bookman Old Style" w:cstheme="majorBidi"/>
        </w:rPr>
        <w:t>. Adapun ketentuan Pasal 1366 KUHPerdata menyatakan: “</w:t>
      </w:r>
      <w:r w:rsidRPr="00CE696F">
        <w:rPr>
          <w:rFonts w:ascii="Bookman Old Style" w:hAnsi="Bookman Old Style" w:cstheme="majorBidi"/>
          <w:i/>
          <w:iCs/>
        </w:rPr>
        <w:t xml:space="preserve">Setiap orang bertanggung jawab tidak saja untuk kerugian yang disebabkan karena </w:t>
      </w:r>
      <w:r w:rsidRPr="00CE696F">
        <w:rPr>
          <w:rFonts w:ascii="Bookman Old Style" w:hAnsi="Bookman Old Style" w:cstheme="majorBidi"/>
          <w:i/>
          <w:iCs/>
        </w:rPr>
        <w:lastRenderedPageBreak/>
        <w:t>perbuatannya, tetapi juga untuk kerugian yang disebabkan karena kelalaian atau kurang hati-hatinya”</w:t>
      </w:r>
      <w:r w:rsidRPr="00CE696F">
        <w:rPr>
          <w:rFonts w:ascii="Bookman Old Style" w:hAnsi="Bookman Old Style" w:cstheme="majorBidi"/>
        </w:rPr>
        <w:t xml:space="preserve">. </w:t>
      </w:r>
    </w:p>
    <w:p w14:paraId="44DD6B15" w14:textId="77777777" w:rsidR="007176B2" w:rsidRPr="00CE696F" w:rsidRDefault="007176B2" w:rsidP="00CE696F">
      <w:pPr>
        <w:pStyle w:val="ListParagraph"/>
        <w:spacing w:after="0" w:line="240" w:lineRule="auto"/>
        <w:ind w:left="0" w:firstLine="720"/>
        <w:jc w:val="both"/>
        <w:rPr>
          <w:rFonts w:ascii="Bookman Old Style" w:hAnsi="Bookman Old Style" w:cstheme="majorBidi"/>
        </w:rPr>
      </w:pPr>
      <w:r w:rsidRPr="00CE696F">
        <w:rPr>
          <w:rFonts w:ascii="Bookman Old Style" w:hAnsi="Bookman Old Style" w:cstheme="majorBidi"/>
        </w:rPr>
        <w:t>Dari bunyi yang dikandung oleh kedua pasal tersebut, dapat ditarik substansi pengertian perbuatan melawan hukum khususnya pada inti kata “</w:t>
      </w:r>
      <w:r w:rsidRPr="00CE696F">
        <w:rPr>
          <w:rFonts w:ascii="Bookman Old Style" w:hAnsi="Bookman Old Style" w:cstheme="majorBidi"/>
          <w:i/>
          <w:iCs/>
        </w:rPr>
        <w:t>Tiap perbuatan melanggar hukum, yang membawa kerugian kepada orang lain”</w:t>
      </w:r>
      <w:r w:rsidRPr="00CE696F">
        <w:rPr>
          <w:rFonts w:ascii="Bookman Old Style" w:hAnsi="Bookman Old Style" w:cstheme="majorBidi"/>
        </w:rPr>
        <w:t xml:space="preserve"> menunjuk pada kerugian yang diakibatkan oleh adanya perbuatan yang melanggar hukum, sehingga sifatnya aktif (</w:t>
      </w:r>
      <w:r w:rsidRPr="00CE696F">
        <w:rPr>
          <w:rFonts w:ascii="Bookman Old Style" w:hAnsi="Bookman Old Style" w:cstheme="majorBidi"/>
          <w:i/>
          <w:iCs/>
        </w:rPr>
        <w:t>culpa in commitendo</w:t>
      </w:r>
      <w:r w:rsidRPr="00CE696F">
        <w:rPr>
          <w:rFonts w:ascii="Bookman Old Style" w:hAnsi="Bookman Old Style" w:cstheme="majorBidi"/>
        </w:rPr>
        <w:t>). Adapun pasal pada kata “</w:t>
      </w:r>
      <w:r w:rsidRPr="00CE696F">
        <w:rPr>
          <w:rFonts w:ascii="Bookman Old Style" w:hAnsi="Bookman Old Style" w:cstheme="majorBidi"/>
          <w:i/>
          <w:iCs/>
        </w:rPr>
        <w:t>juga untuk kerugian yang disebabkan karena kelalaian atau kurang hati-hatinya”</w:t>
      </w:r>
      <w:r w:rsidRPr="00CE696F">
        <w:rPr>
          <w:rFonts w:ascii="Bookman Old Style" w:hAnsi="Bookman Old Style" w:cstheme="majorBidi"/>
        </w:rPr>
        <w:t>, menunjukkan pada kerugian yang diakibatkan karena tidak berbuat sesuatu, segingga sifatnya pasif (</w:t>
      </w:r>
      <w:r w:rsidRPr="00CE696F">
        <w:rPr>
          <w:rFonts w:ascii="Bookman Old Style" w:hAnsi="Bookman Old Style" w:cstheme="majorBidi"/>
          <w:i/>
          <w:iCs/>
        </w:rPr>
        <w:t>onrechmatigenalaten</w:t>
      </w:r>
      <w:r w:rsidRPr="00CE696F">
        <w:rPr>
          <w:rFonts w:ascii="Bookman Old Style" w:hAnsi="Bookman Old Style" w:cstheme="majorBidi"/>
        </w:rPr>
        <w:t>).</w:t>
      </w:r>
    </w:p>
    <w:p w14:paraId="4AAF9BE6" w14:textId="02AD880E" w:rsidR="0023596A" w:rsidRPr="0023596A" w:rsidRDefault="007176B2" w:rsidP="0023596A">
      <w:pPr>
        <w:pStyle w:val="ListParagraph"/>
        <w:spacing w:after="0" w:line="240" w:lineRule="auto"/>
        <w:ind w:left="0" w:firstLine="720"/>
        <w:jc w:val="both"/>
        <w:rPr>
          <w:rFonts w:ascii="Bookman Old Style" w:hAnsi="Bookman Old Style" w:cstheme="majorBidi"/>
        </w:rPr>
      </w:pPr>
      <w:r w:rsidRPr="00CE696F">
        <w:rPr>
          <w:rFonts w:ascii="Bookman Old Style" w:hAnsi="Bookman Old Style" w:cstheme="majorBidi"/>
        </w:rPr>
        <w:t>Dari penjelasan di atas, baik hukum Islam dalam kitab fikih maupun hukum perdata umum, dalam KUH Perdata, sama-sama mengenal teori pertanggungjawaban perbuatan. Dalam hukum Islam dikenal dengan istilah</w:t>
      </w:r>
      <w:r w:rsidRPr="00CE696F">
        <w:rPr>
          <w:rFonts w:ascii="Bookman Old Style" w:hAnsi="Bookman Old Style" w:cstheme="majorBidi"/>
          <w:i/>
          <w:iCs/>
        </w:rPr>
        <w:t xml:space="preserve"> al-fi’lu al-dharar, </w:t>
      </w:r>
      <w:r w:rsidRPr="00CE696F">
        <w:rPr>
          <w:rFonts w:ascii="Bookman Old Style" w:hAnsi="Bookman Old Style" w:cstheme="majorBidi"/>
        </w:rPr>
        <w:t xml:space="preserve">sedangkan dalam hukum perdata umum dikenal dengan istilah perbuatan melawan huku, (PMH). Perbuatan melanggar hukum baik yang bersifat aktif maupun pasif dapat dikenakan pertanggungjawaban hukum. </w:t>
      </w:r>
    </w:p>
    <w:p w14:paraId="2E9213EA" w14:textId="77777777" w:rsidR="007176B2" w:rsidRPr="00CE696F" w:rsidRDefault="007176B2" w:rsidP="00CE696F">
      <w:pPr>
        <w:pStyle w:val="ListParagraph"/>
        <w:spacing w:after="0" w:line="240" w:lineRule="auto"/>
        <w:ind w:left="0" w:firstLine="720"/>
        <w:jc w:val="both"/>
        <w:rPr>
          <w:rFonts w:ascii="Bookman Old Style" w:hAnsi="Bookman Old Style" w:cstheme="majorBidi"/>
        </w:rPr>
      </w:pPr>
      <w:r w:rsidRPr="00CE696F">
        <w:rPr>
          <w:rFonts w:ascii="Bookman Old Style" w:hAnsi="Bookman Old Style" w:cstheme="majorBidi"/>
        </w:rPr>
        <w:t>Kompilasi Hukum Ekonomi Syariah (KHES) yang merupakan Peraturan Mahkamah Agung Nomor 2 Tahun 2008 mengenal perbuatan melawan hukum, baik secara positif maupun negatif, dan keduanya dapat dimintai pertanggungjawaban.</w:t>
      </w:r>
      <w:r w:rsidRPr="00744F42">
        <w:rPr>
          <w:rStyle w:val="FootnoteReference"/>
        </w:rPr>
        <w:footnoteReference w:id="1"/>
      </w:r>
    </w:p>
    <w:p w14:paraId="3512BFB7" w14:textId="4AD23E76" w:rsidR="007176B2" w:rsidRDefault="007176B2" w:rsidP="00CE696F">
      <w:pPr>
        <w:pStyle w:val="ListParagraph"/>
        <w:spacing w:after="0" w:line="240" w:lineRule="auto"/>
        <w:ind w:left="0" w:firstLine="720"/>
        <w:jc w:val="both"/>
        <w:rPr>
          <w:rFonts w:ascii="Bookman Old Style" w:hAnsi="Bookman Old Style" w:cstheme="majorBidi"/>
        </w:rPr>
      </w:pPr>
      <w:r w:rsidRPr="00CE696F">
        <w:rPr>
          <w:rFonts w:ascii="Bookman Old Style" w:hAnsi="Bookman Old Style" w:cstheme="majorBidi"/>
        </w:rPr>
        <w:t xml:space="preserve">Istilah lain yang dipergunakan untuk menyebut istilah perbuatan melawan hukum selain </w:t>
      </w:r>
      <w:r w:rsidRPr="00CE696F">
        <w:rPr>
          <w:rFonts w:ascii="Bookman Old Style" w:hAnsi="Bookman Old Style" w:cstheme="majorBidi"/>
          <w:i/>
          <w:iCs/>
        </w:rPr>
        <w:t xml:space="preserve">al-fi’lu al-dharar </w:t>
      </w:r>
      <w:r w:rsidRPr="00CE696F">
        <w:rPr>
          <w:rFonts w:ascii="Bookman Old Style" w:hAnsi="Bookman Old Style" w:cstheme="majorBidi"/>
        </w:rPr>
        <w:t xml:space="preserve">adalah </w:t>
      </w:r>
      <w:r w:rsidRPr="00CE696F">
        <w:rPr>
          <w:rFonts w:ascii="Bookman Old Style" w:hAnsi="Bookman Old Style" w:cstheme="majorBidi"/>
          <w:i/>
          <w:iCs/>
        </w:rPr>
        <w:t xml:space="preserve">al-‘udwân </w:t>
      </w:r>
      <w:r w:rsidRPr="00CE696F">
        <w:rPr>
          <w:rFonts w:ascii="Bookman Old Style" w:hAnsi="Bookman Old Style" w:cstheme="majorBidi"/>
        </w:rPr>
        <w:t xml:space="preserve">yang melahirkan </w:t>
      </w:r>
      <w:r w:rsidRPr="00CE696F">
        <w:rPr>
          <w:rFonts w:ascii="Bookman Old Style" w:hAnsi="Bookman Old Style" w:cstheme="majorBidi"/>
          <w:i/>
          <w:iCs/>
        </w:rPr>
        <w:t xml:space="preserve">dhamân al-‘udwan </w:t>
      </w:r>
      <w:r w:rsidRPr="00CE696F">
        <w:rPr>
          <w:rFonts w:ascii="Bookman Old Style" w:hAnsi="Bookman Old Style" w:cstheme="majorBidi"/>
        </w:rPr>
        <w:t>(</w:t>
      </w:r>
      <w:r w:rsidRPr="00CE696F">
        <w:rPr>
          <w:rFonts w:ascii="Bookman Old Style" w:hAnsi="Bookman Old Style" w:cstheme="majorBidi"/>
          <w:i/>
          <w:iCs/>
        </w:rPr>
        <w:t>satisfacion</w:t>
      </w:r>
      <w:r w:rsidRPr="00CE696F">
        <w:rPr>
          <w:rFonts w:ascii="Bookman Old Style" w:hAnsi="Bookman Old Style" w:cstheme="majorBidi"/>
        </w:rPr>
        <w:t xml:space="preserve"> </w:t>
      </w:r>
      <w:r w:rsidRPr="00CE696F">
        <w:rPr>
          <w:rFonts w:ascii="Bookman Old Style" w:hAnsi="Bookman Old Style" w:cstheme="majorBidi"/>
          <w:i/>
          <w:iCs/>
        </w:rPr>
        <w:t>guarantee of trespass</w:t>
      </w:r>
      <w:r w:rsidRPr="00CE696F">
        <w:rPr>
          <w:rFonts w:ascii="Bookman Old Style" w:hAnsi="Bookman Old Style" w:cstheme="majorBidi"/>
        </w:rPr>
        <w:t xml:space="preserve">) atau juga </w:t>
      </w:r>
      <w:r w:rsidRPr="00CE696F">
        <w:rPr>
          <w:rFonts w:ascii="Bookman Old Style" w:hAnsi="Bookman Old Style" w:cstheme="majorBidi"/>
          <w:i/>
          <w:iCs/>
        </w:rPr>
        <w:t xml:space="preserve">al-taqshîr </w:t>
      </w:r>
      <w:r w:rsidRPr="00CE696F">
        <w:rPr>
          <w:rFonts w:ascii="Bookman Old Style" w:hAnsi="Bookman Old Style" w:cstheme="majorBidi"/>
        </w:rPr>
        <w:t xml:space="preserve">(perbuatan ceroboh) yang melahirkan </w:t>
      </w:r>
      <w:r w:rsidRPr="00CE696F">
        <w:rPr>
          <w:rFonts w:ascii="Bookman Old Style" w:hAnsi="Bookman Old Style" w:cstheme="majorBidi"/>
          <w:i/>
          <w:iCs/>
        </w:rPr>
        <w:t xml:space="preserve">mas’ûliyyah al-taqshîriyyah </w:t>
      </w:r>
      <w:r w:rsidRPr="00CE696F">
        <w:rPr>
          <w:rFonts w:ascii="Bookman Old Style" w:hAnsi="Bookman Old Style" w:cstheme="majorBidi"/>
        </w:rPr>
        <w:t xml:space="preserve">dan juga </w:t>
      </w:r>
      <w:r w:rsidRPr="00CE696F">
        <w:rPr>
          <w:rFonts w:ascii="Bookman Old Style" w:hAnsi="Bookman Old Style" w:cstheme="majorBidi"/>
          <w:i/>
          <w:iCs/>
        </w:rPr>
        <w:t xml:space="preserve">‘amal ghar al-masyrû. </w:t>
      </w:r>
      <w:r w:rsidRPr="00CE696F">
        <w:rPr>
          <w:rFonts w:ascii="Bookman Old Style" w:hAnsi="Bookman Old Style" w:cstheme="majorBidi"/>
        </w:rPr>
        <w:t>Dengan demikian, perbuatan melawan hukum dapat didefinisikan sebagai perbuatan yang tidak sesuai dengan ketentuan undang-undang yang merugikan pihak lain dan melahirkan tanggung jawab (</w:t>
      </w:r>
      <w:r w:rsidRPr="00CE696F">
        <w:rPr>
          <w:rFonts w:ascii="Bookman Old Style" w:hAnsi="Bookman Old Style" w:cstheme="majorBidi"/>
          <w:i/>
          <w:iCs/>
        </w:rPr>
        <w:t>dhamân</w:t>
      </w:r>
      <w:r w:rsidRPr="00CE696F">
        <w:rPr>
          <w:rFonts w:ascii="Bookman Old Style" w:hAnsi="Bookman Old Style" w:cstheme="majorBidi"/>
        </w:rPr>
        <w:t>) bagi pelakunya.</w:t>
      </w:r>
      <w:r w:rsidR="00C42B8E">
        <w:rPr>
          <w:rFonts w:ascii="Bookman Old Style" w:hAnsi="Bookman Old Style" w:cstheme="majorBidi"/>
        </w:rPr>
        <w:fldChar w:fldCharType="begin" w:fldLock="1"/>
      </w:r>
      <w:r w:rsidR="008179FD">
        <w:rPr>
          <w:rFonts w:ascii="Bookman Old Style" w:hAnsi="Bookman Old Style" w:cstheme="majorBidi"/>
        </w:rPr>
        <w:instrText>ADDIN CSL_CITATION {"citationItems":[{"id":"ITEM-1","itemData":{"author":[{"dropping-particle":"","family":"Amran Suadi","given":"","non-dropping-particle":"","parse-names":false,"suffix":""}],"id":"ITEM-1","issued":{"date-parts":[["2020"]]},"number-of-pages":"113","publisher":"PT RajaGrafindo Persada","publisher-place":"Jakarta","title":"Wanprestasi Dan Perbuatan Melawan Hukum: Dalam Penyelesaian Sengketa Ekonomi Syariah","type":"book"},"uris":["http://www.mendeley.com/documents/?uuid=8e34e13a-19a6-450f-bd7b-70d72f8cbdc6"]}],"mendeley":{"formattedCitation":"(Amran Suadi, 2020)","plainTextFormattedCitation":"(Amran Suadi, 2020)","previouslyFormattedCitation":"(Amran Suadi, 2020)"},"properties":{"noteIndex":0},"schema":"https://github.com/citation-style-language/schema/raw/master/csl-citation.json"}</w:instrText>
      </w:r>
      <w:r w:rsidR="00C42B8E">
        <w:rPr>
          <w:rFonts w:ascii="Bookman Old Style" w:hAnsi="Bookman Old Style" w:cstheme="majorBidi"/>
        </w:rPr>
        <w:fldChar w:fldCharType="separate"/>
      </w:r>
      <w:r w:rsidR="00C42B8E" w:rsidRPr="00C42B8E">
        <w:rPr>
          <w:rFonts w:ascii="Bookman Old Style" w:hAnsi="Bookman Old Style" w:cstheme="majorBidi"/>
          <w:noProof/>
        </w:rPr>
        <w:t>(Amran Suadi, 2020)</w:t>
      </w:r>
      <w:r w:rsidR="00C42B8E">
        <w:rPr>
          <w:rFonts w:ascii="Bookman Old Style" w:hAnsi="Bookman Old Style" w:cstheme="majorBidi"/>
        </w:rPr>
        <w:fldChar w:fldCharType="end"/>
      </w:r>
    </w:p>
    <w:p w14:paraId="7EB30509" w14:textId="66B06561" w:rsidR="00F75D3E" w:rsidRDefault="00F75D3E" w:rsidP="00CE696F">
      <w:pPr>
        <w:pStyle w:val="ListParagraph"/>
        <w:spacing w:after="0" w:line="240" w:lineRule="auto"/>
        <w:ind w:left="0" w:firstLine="720"/>
        <w:jc w:val="both"/>
        <w:rPr>
          <w:rFonts w:ascii="Bookman Old Style" w:hAnsi="Bookman Old Style" w:cstheme="majorBidi"/>
        </w:rPr>
      </w:pPr>
      <w:r>
        <w:rPr>
          <w:rFonts w:ascii="Bookman Old Style" w:hAnsi="Bookman Old Style" w:cstheme="majorBidi"/>
        </w:rPr>
        <w:t xml:space="preserve">Pada hakikatnya yang harus dilakukan oleh setiap individu dalam bermuamalah menurut prinsip dasar hukum ekonomi syariah adalah </w:t>
      </w:r>
      <w:r>
        <w:rPr>
          <w:rFonts w:ascii="Bookman Old Style" w:hAnsi="Bookman Old Style" w:cstheme="majorBidi"/>
          <w:i/>
          <w:iCs/>
        </w:rPr>
        <w:t xml:space="preserve">lâ dharar wa lâ dhirâr, </w:t>
      </w:r>
      <w:r>
        <w:rPr>
          <w:rFonts w:ascii="Bookman Old Style" w:hAnsi="Bookman Old Style" w:cstheme="majorBidi"/>
        </w:rPr>
        <w:t xml:space="preserve">artinya syariat Islam melarang adanya perbuatan bahaya dan yang membahayakan. </w:t>
      </w:r>
      <w:r w:rsidR="00191622">
        <w:rPr>
          <w:rFonts w:ascii="Bookman Old Style" w:hAnsi="Bookman Old Style" w:cstheme="majorBidi"/>
        </w:rPr>
        <w:t>Hal ini berdasarkan keterangan Rasulullah Saw yang diriwayatkan oleh Imam Ahmad yang berbunyi:</w:t>
      </w:r>
    </w:p>
    <w:p w14:paraId="30502EF7" w14:textId="67495A0B" w:rsidR="00191622" w:rsidRPr="00191622" w:rsidRDefault="00191622" w:rsidP="00191622">
      <w:pPr>
        <w:autoSpaceDE w:val="0"/>
        <w:autoSpaceDN w:val="0"/>
        <w:bidi/>
        <w:adjustRightInd w:val="0"/>
        <w:spacing w:after="0" w:line="240" w:lineRule="auto"/>
        <w:rPr>
          <w:rFonts w:ascii="Traditional Arabic" w:hAnsi="Traditional Arabic" w:cs="Traditional Arabic"/>
          <w:sz w:val="36"/>
          <w:szCs w:val="36"/>
          <w:lang w:val="en-ID"/>
        </w:rPr>
      </w:pPr>
      <w:r w:rsidRPr="00191622">
        <w:rPr>
          <w:rFonts w:ascii="Traditional Arabic" w:hAnsi="Traditional Arabic" w:cs="Traditional Arabic"/>
          <w:sz w:val="36"/>
          <w:szCs w:val="36"/>
          <w:rtl/>
          <w:lang w:val="en-ID"/>
        </w:rPr>
        <w:t>أَنَّ رَسُولَ اللهِ صلى الله عليه وسلم قَالَ: «لاَ ضَرَرَ وَلاَ ضِرَارَ».</w:t>
      </w:r>
    </w:p>
    <w:p w14:paraId="486B3F74" w14:textId="5551183F" w:rsidR="00E72E11" w:rsidRDefault="00191622" w:rsidP="00191622">
      <w:pPr>
        <w:pStyle w:val="ListParagraph"/>
        <w:spacing w:after="0" w:line="240" w:lineRule="auto"/>
        <w:jc w:val="both"/>
        <w:rPr>
          <w:rFonts w:ascii="Bookman Old Style" w:hAnsi="Bookman Old Style" w:cstheme="majorBidi"/>
        </w:rPr>
      </w:pPr>
      <w:r>
        <w:rPr>
          <w:rFonts w:ascii="Bookman Old Style" w:hAnsi="Bookman Old Style" w:cstheme="majorBidi"/>
        </w:rPr>
        <w:t>“</w:t>
      </w:r>
      <w:r w:rsidRPr="008117BF">
        <w:rPr>
          <w:rFonts w:ascii="Bookman Old Style" w:hAnsi="Bookman Old Style" w:cstheme="majorBidi"/>
          <w:i/>
          <w:iCs/>
        </w:rPr>
        <w:t xml:space="preserve">Bahwasannya Rasulullah Saw </w:t>
      </w:r>
      <w:r w:rsidR="00E72E11" w:rsidRPr="008117BF">
        <w:rPr>
          <w:rFonts w:ascii="Bookman Old Style" w:hAnsi="Bookman Old Style" w:cstheme="majorBidi"/>
          <w:i/>
          <w:iCs/>
        </w:rPr>
        <w:t xml:space="preserve">bersabda: </w:t>
      </w:r>
      <w:r w:rsidRPr="008117BF">
        <w:rPr>
          <w:rFonts w:ascii="Bookman Old Style" w:hAnsi="Bookman Old Style" w:cstheme="majorBidi"/>
          <w:i/>
          <w:iCs/>
        </w:rPr>
        <w:t>tidak boleh memudaratkan oleh lain dan tidak boleh dimudaratkan</w:t>
      </w:r>
      <w:r>
        <w:rPr>
          <w:rFonts w:ascii="Bookman Old Style" w:hAnsi="Bookman Old Style" w:cstheme="majorBidi"/>
        </w:rPr>
        <w:t>”.</w:t>
      </w:r>
      <w:r w:rsidR="00E72E11">
        <w:rPr>
          <w:rFonts w:ascii="Bookman Old Style" w:hAnsi="Bookman Old Style" w:cstheme="majorBidi"/>
        </w:rPr>
        <w:fldChar w:fldCharType="begin" w:fldLock="1"/>
      </w:r>
      <w:r w:rsidR="00E72E11">
        <w:rPr>
          <w:rFonts w:ascii="Bookman Old Style" w:hAnsi="Bookman Old Style" w:cstheme="majorBidi"/>
        </w:rPr>
        <w:instrText>ADDIN CSL_CITATION {"citationItems":[{"id":"ITEM-1","itemData":{"author":[{"dropping-particle":"","family":"Hanbal","given":"Ahmad Ibn","non-dropping-particle":"","parse-names":false,"suffix":""}],"id":"ITEM-1","issued":{"date-parts":[["2001"]]},"number-of-pages":"84","publisher":"Muasasah al-Risalah","publisher-place":"Beirut","title":"al-Musnad","type":"book"},"uris":["http://www.mendeley.com/documents/?uuid=6603b5b9-8510-4655-b545-0cafa45fb7f0"]}],"mendeley":{"formattedCitation":"(Hanbal, 2001)","plainTextFormattedCitation":"(Hanbal, 2001)","previouslyFormattedCitation":"(Hanbal, 2001)"},"properties":{"noteIndex":0},"schema":"https://github.com/citation-style-language/schema/raw/master/csl-citation.json"}</w:instrText>
      </w:r>
      <w:r w:rsidR="00E72E11">
        <w:rPr>
          <w:rFonts w:ascii="Bookman Old Style" w:hAnsi="Bookman Old Style" w:cstheme="majorBidi"/>
        </w:rPr>
        <w:fldChar w:fldCharType="separate"/>
      </w:r>
      <w:r w:rsidR="00E72E11" w:rsidRPr="00E72E11">
        <w:rPr>
          <w:rFonts w:ascii="Bookman Old Style" w:hAnsi="Bookman Old Style" w:cstheme="majorBidi"/>
          <w:noProof/>
        </w:rPr>
        <w:t>(Hanbal, 2001)</w:t>
      </w:r>
      <w:r w:rsidR="00E72E11">
        <w:rPr>
          <w:rFonts w:ascii="Bookman Old Style" w:hAnsi="Bookman Old Style" w:cstheme="majorBidi"/>
        </w:rPr>
        <w:fldChar w:fldCharType="end"/>
      </w:r>
    </w:p>
    <w:p w14:paraId="113E0722" w14:textId="3A9D4971" w:rsidR="00E72E11" w:rsidRDefault="00E72E11" w:rsidP="00E72E11">
      <w:pPr>
        <w:pStyle w:val="ListParagraph"/>
        <w:spacing w:after="0" w:line="240" w:lineRule="auto"/>
        <w:ind w:left="0" w:firstLine="720"/>
        <w:jc w:val="both"/>
        <w:rPr>
          <w:rFonts w:ascii="Bookman Old Style" w:hAnsi="Bookman Old Style" w:cstheme="majorBidi"/>
        </w:rPr>
      </w:pPr>
      <w:r>
        <w:rPr>
          <w:rFonts w:ascii="Bookman Old Style" w:hAnsi="Bookman Old Style" w:cstheme="majorBidi"/>
        </w:rPr>
        <w:t>Oleh karena itu, setiap tindakan yang merugikan orang lain baik yang dilakukan secara sengaja maupun tidak, pelakunya harus bertanggung jawab terhadap semua kerusakan dan kerugian yang timbul. Apabila si pelaku tidak mampu memberikan ganti rugi atau kerusakan yang diakibatkan oleh perbuatannya, seperti orang gila dan anak-anak yang masih belum balig maka tanggung jawab harus dipikul oleh walinya. Kewajiban memberi ganti rugi dalam hukum ekonomi syariah bertujuan untuk menjaga dan memeliharta harta benda dari segala kehancuran dan kebinasaan serta memberikan rasa aman kepada pemiliknya dari hal-hal yang membahayakan.</w:t>
      </w:r>
      <w:r>
        <w:rPr>
          <w:rFonts w:ascii="Bookman Old Style" w:hAnsi="Bookman Old Style" w:cstheme="majorBidi"/>
        </w:rPr>
        <w:fldChar w:fldCharType="begin" w:fldLock="1"/>
      </w:r>
      <w:r w:rsidR="00CA25A5">
        <w:rPr>
          <w:rFonts w:ascii="Bookman Old Style" w:hAnsi="Bookman Old Style" w:cstheme="majorBidi"/>
        </w:rPr>
        <w:instrText>ADDIN CSL_CITATION {"citationItems":[{"id":"ITEM-1","itemData":{"author":[{"dropping-particle":"","family":"Hasan Elsefy","given":"","non-dropping-particle":"","parse-names":false,"suffix":""}],"id":"ITEM-1","issued":{"date-parts":[["2007"]]},"number-of-pages":"3","publisher":"University of Malaya Press","publisher-place":"Kuala Lumpur","title":"Islamic Finance A Comparative Jurisprudential Study","type":"book"},"uris":["http://www.mendeley.com/documents/?uuid=8aea5880-b284-49e2-bc09-68e527cfac0b"]}],"mendeley":{"formattedCitation":"(Hasan Elsefy, 2007)","plainTextFormattedCitation":"(Hasan Elsefy, 2007)","previouslyFormattedCitation":"(Hasan Elsefy, 2007)"},"properties":{"noteIndex":0},"schema":"https://github.com/citation-style-language/schema/raw/master/csl-citation.json"}</w:instrText>
      </w:r>
      <w:r>
        <w:rPr>
          <w:rFonts w:ascii="Bookman Old Style" w:hAnsi="Bookman Old Style" w:cstheme="majorBidi"/>
        </w:rPr>
        <w:fldChar w:fldCharType="separate"/>
      </w:r>
      <w:r w:rsidRPr="00E72E11">
        <w:rPr>
          <w:rFonts w:ascii="Bookman Old Style" w:hAnsi="Bookman Old Style" w:cstheme="majorBidi"/>
          <w:noProof/>
        </w:rPr>
        <w:t>(Hasan Elsefy, 2007)</w:t>
      </w:r>
      <w:r>
        <w:rPr>
          <w:rFonts w:ascii="Bookman Old Style" w:hAnsi="Bookman Old Style" w:cstheme="majorBidi"/>
        </w:rPr>
        <w:fldChar w:fldCharType="end"/>
      </w:r>
    </w:p>
    <w:p w14:paraId="601B76F0" w14:textId="4C580AF2" w:rsidR="008117BF" w:rsidRDefault="008117BF" w:rsidP="00E72E11">
      <w:pPr>
        <w:pStyle w:val="ListParagraph"/>
        <w:spacing w:after="0" w:line="240" w:lineRule="auto"/>
        <w:ind w:left="0" w:firstLine="720"/>
        <w:jc w:val="both"/>
        <w:rPr>
          <w:rFonts w:ascii="Bookman Old Style" w:hAnsi="Bookman Old Style" w:cstheme="majorBidi"/>
          <w:rtl/>
        </w:rPr>
      </w:pPr>
      <w:r>
        <w:rPr>
          <w:rFonts w:ascii="Bookman Old Style" w:hAnsi="Bookman Old Style" w:cstheme="majorBidi"/>
        </w:rPr>
        <w:lastRenderedPageBreak/>
        <w:t>Bahkan dalam Al-Qur’an terdpaat lebih dari satu ayat yang memerintahkan agar setiap tindakan yang dapat merugikan orang lain supaya diberikan ganti rugi yang setimpal. Hal ini dijelaskan antara ;ain dalam Al-Quran surah al-Baqarah (2): 194 yang berbunyi:</w:t>
      </w:r>
    </w:p>
    <w:p w14:paraId="68A8C3A6" w14:textId="408B4174" w:rsidR="004E7A4A" w:rsidRPr="004E7A4A" w:rsidRDefault="004E7A4A" w:rsidP="004E7A4A">
      <w:pPr>
        <w:pStyle w:val="ListParagraph"/>
        <w:spacing w:after="0" w:line="240" w:lineRule="auto"/>
        <w:ind w:left="0" w:firstLine="720"/>
        <w:jc w:val="right"/>
        <w:rPr>
          <w:rFonts w:ascii="Bookman Old Style" w:hAnsi="Bookman Old Style" w:cstheme="majorBidi"/>
          <w:sz w:val="36"/>
          <w:szCs w:val="36"/>
        </w:rPr>
      </w:pPr>
      <w:r w:rsidRPr="004E7A4A">
        <w:rPr>
          <w:rFonts w:ascii="Traditional Arabic" w:hAnsi="Traditional Arabic" w:cs="Traditional Arabic"/>
          <w:color w:val="000000"/>
          <w:sz w:val="36"/>
          <w:szCs w:val="36"/>
          <w:rtl/>
          <w:lang w:val="en-ID"/>
        </w:rPr>
        <w:t>مَنِ اعْتَدَى عَلَيْكُمْ فَاعْتَدُوا عَلَيْهِ بِمِثْلِ مَا اعْتَدَى عَلَيْكُمْ</w:t>
      </w:r>
    </w:p>
    <w:p w14:paraId="1993CC81" w14:textId="34D92259" w:rsidR="008117BF" w:rsidRDefault="008117BF" w:rsidP="004E7A4A">
      <w:pPr>
        <w:pStyle w:val="ListParagraph"/>
        <w:spacing w:after="0" w:line="240" w:lineRule="auto"/>
        <w:jc w:val="both"/>
        <w:rPr>
          <w:rFonts w:ascii="Bookman Old Style" w:hAnsi="Bookman Old Style" w:cstheme="majorBidi"/>
        </w:rPr>
      </w:pPr>
      <w:r>
        <w:rPr>
          <w:rFonts w:ascii="Bookman Old Style" w:hAnsi="Bookman Old Style" w:cstheme="majorBidi"/>
        </w:rPr>
        <w:t>“</w:t>
      </w:r>
      <w:r>
        <w:rPr>
          <w:rFonts w:ascii="Bookman Old Style" w:hAnsi="Bookman Old Style" w:cstheme="majorBidi"/>
          <w:i/>
          <w:iCs/>
        </w:rPr>
        <w:t xml:space="preserve">Barang siapa yang menyerang kamy, maka seranglah ia, seimbang dengan serangan terhadapmu”. </w:t>
      </w:r>
    </w:p>
    <w:p w14:paraId="090785FB" w14:textId="0FF1245B" w:rsidR="004E7A4A" w:rsidRDefault="004E7A4A" w:rsidP="004E7A4A">
      <w:pPr>
        <w:pStyle w:val="ListParagraph"/>
        <w:spacing w:after="0" w:line="240" w:lineRule="auto"/>
        <w:jc w:val="both"/>
        <w:rPr>
          <w:rFonts w:ascii="Bookman Old Style" w:hAnsi="Bookman Old Style" w:cstheme="majorBidi"/>
        </w:rPr>
      </w:pPr>
      <w:r>
        <w:rPr>
          <w:rFonts w:ascii="Bookman Old Style" w:hAnsi="Bookman Old Style" w:cstheme="majorBidi"/>
        </w:rPr>
        <w:t xml:space="preserve">Demikian pula dalam Al-Quran surah </w:t>
      </w:r>
      <w:r w:rsidR="00206766">
        <w:rPr>
          <w:rFonts w:ascii="Bookman Old Style" w:hAnsi="Bookman Old Style" w:cstheme="majorBidi"/>
        </w:rPr>
        <w:t>al-Nahl (16): 126 yang berbunyi:</w:t>
      </w:r>
    </w:p>
    <w:p w14:paraId="310C6212" w14:textId="21148948" w:rsidR="00206766" w:rsidRPr="00206766" w:rsidRDefault="00206766" w:rsidP="00206766">
      <w:pPr>
        <w:pStyle w:val="ListParagraph"/>
        <w:spacing w:after="0" w:line="240" w:lineRule="auto"/>
        <w:jc w:val="right"/>
        <w:rPr>
          <w:rFonts w:ascii="Bookman Old Style" w:hAnsi="Bookman Old Style" w:cstheme="majorBidi" w:hint="cs"/>
          <w:sz w:val="18"/>
          <w:szCs w:val="18"/>
          <w:rtl/>
        </w:rPr>
      </w:pPr>
      <w:r w:rsidRPr="00206766">
        <w:rPr>
          <w:rFonts w:ascii="Traditional Arabic" w:hAnsi="Traditional Arabic" w:cs="Traditional Arabic"/>
          <w:color w:val="000000"/>
          <w:sz w:val="36"/>
          <w:szCs w:val="36"/>
          <w:rtl/>
          <w:lang w:val="en-ID"/>
        </w:rPr>
        <w:t>وَإِنْ عَاقَبْتُمْ فَعَاقِبُوا بِمِثْلِ مَا عُوقِبْتُمْ بِهِ</w:t>
      </w:r>
    </w:p>
    <w:p w14:paraId="38E97DA8" w14:textId="5C49A2A3" w:rsidR="00206766" w:rsidRPr="00206766" w:rsidRDefault="00206766" w:rsidP="004E7A4A">
      <w:pPr>
        <w:pStyle w:val="ListParagraph"/>
        <w:spacing w:after="0" w:line="240" w:lineRule="auto"/>
        <w:jc w:val="both"/>
        <w:rPr>
          <w:rFonts w:ascii="Bookman Old Style" w:hAnsi="Bookman Old Style" w:cstheme="majorBidi" w:hint="cs"/>
          <w:rtl/>
        </w:rPr>
      </w:pPr>
      <w:r>
        <w:rPr>
          <w:rFonts w:ascii="Bookman Old Style" w:hAnsi="Bookman Old Style" w:cstheme="majorBidi"/>
        </w:rPr>
        <w:t>“</w:t>
      </w:r>
      <w:r>
        <w:rPr>
          <w:rFonts w:ascii="Bookman Old Style" w:hAnsi="Bookman Old Style" w:cstheme="majorBidi"/>
          <w:i/>
          <w:iCs/>
        </w:rPr>
        <w:t>Dan apabila kamu memberikan balasan, maka balaslah dengan balasan yang sama dengan siksaan yang ditempakan kepadamu”</w:t>
      </w:r>
      <w:r>
        <w:rPr>
          <w:rFonts w:ascii="Bookman Old Style" w:hAnsi="Bookman Old Style" w:cstheme="majorBidi"/>
        </w:rPr>
        <w:t xml:space="preserve">. </w:t>
      </w:r>
    </w:p>
    <w:p w14:paraId="3B29E3A4" w14:textId="101FB578" w:rsidR="003338D6" w:rsidRPr="00A869B8" w:rsidRDefault="00E72E11" w:rsidP="00A869B8">
      <w:pPr>
        <w:pStyle w:val="ListParagraph"/>
        <w:spacing w:after="0" w:line="240" w:lineRule="auto"/>
        <w:ind w:left="0" w:firstLine="720"/>
        <w:jc w:val="both"/>
        <w:rPr>
          <w:rFonts w:ascii="Bookman Old Style" w:hAnsi="Bookman Old Style" w:cstheme="majorBidi"/>
        </w:rPr>
      </w:pPr>
      <w:r>
        <w:rPr>
          <w:rFonts w:ascii="Bookman Old Style" w:hAnsi="Bookman Old Style" w:cstheme="majorBidi"/>
        </w:rPr>
        <w:t xml:space="preserve"> </w:t>
      </w:r>
      <w:r w:rsidR="00191622">
        <w:rPr>
          <w:rFonts w:ascii="Bookman Old Style" w:hAnsi="Bookman Old Style" w:cstheme="majorBidi"/>
        </w:rPr>
        <w:t xml:space="preserve"> </w:t>
      </w:r>
    </w:p>
    <w:p w14:paraId="6F8ABD86" w14:textId="41BBA150" w:rsidR="00BE3D2B" w:rsidRPr="00BE3D2B" w:rsidRDefault="00BE3D2B" w:rsidP="00BE3D2B">
      <w:pPr>
        <w:pStyle w:val="ListParagraph"/>
        <w:numPr>
          <w:ilvl w:val="0"/>
          <w:numId w:val="1"/>
        </w:numPr>
        <w:spacing w:after="0" w:line="240" w:lineRule="auto"/>
        <w:jc w:val="both"/>
        <w:rPr>
          <w:rFonts w:ascii="Bookman Old Style" w:hAnsi="Bookman Old Style" w:cstheme="majorBidi"/>
          <w:b/>
          <w:bCs/>
        </w:rPr>
      </w:pPr>
      <w:r>
        <w:rPr>
          <w:rFonts w:ascii="Bookman Old Style" w:hAnsi="Bookman Old Style" w:cstheme="majorBidi"/>
          <w:b/>
          <w:bCs/>
        </w:rPr>
        <w:t>Objek Perbuatan Melawan Hukum dalam Hukum Ekonomi Syariah</w:t>
      </w:r>
    </w:p>
    <w:p w14:paraId="65BD4F31" w14:textId="33780D41" w:rsidR="00BE3D2B" w:rsidRDefault="007176B2" w:rsidP="00BE3D2B">
      <w:pPr>
        <w:pStyle w:val="ListParagraph"/>
        <w:spacing w:after="0" w:line="240" w:lineRule="auto"/>
        <w:ind w:left="0" w:firstLine="720"/>
        <w:jc w:val="both"/>
        <w:rPr>
          <w:rFonts w:ascii="Bookman Old Style" w:hAnsi="Bookman Old Style" w:cstheme="majorBidi"/>
        </w:rPr>
      </w:pPr>
      <w:r w:rsidRPr="00CE696F">
        <w:rPr>
          <w:rFonts w:ascii="Bookman Old Style" w:hAnsi="Bookman Old Style" w:cstheme="majorBidi"/>
        </w:rPr>
        <w:t>Dalam literatur khazanah hukum Islam klasik (</w:t>
      </w:r>
      <w:r w:rsidRPr="00CE696F">
        <w:rPr>
          <w:rFonts w:ascii="Bookman Old Style" w:hAnsi="Bookman Old Style" w:cstheme="majorBidi"/>
          <w:i/>
          <w:iCs/>
        </w:rPr>
        <w:t>turâts</w:t>
      </w:r>
      <w:r w:rsidRPr="00CE696F">
        <w:rPr>
          <w:rFonts w:ascii="Bookman Old Style" w:hAnsi="Bookman Old Style" w:cstheme="majorBidi"/>
        </w:rPr>
        <w:t xml:space="preserve">), konsep yang memiliki konten yang paling relevan dengan PMH dan merupakan objek dari PMH dalam pembahasan tentang </w:t>
      </w:r>
      <w:r w:rsidRPr="00CE696F">
        <w:rPr>
          <w:rFonts w:ascii="Bookman Old Style" w:hAnsi="Bookman Old Style" w:cstheme="majorBidi"/>
          <w:i/>
          <w:iCs/>
        </w:rPr>
        <w:t xml:space="preserve">itlâf </w:t>
      </w:r>
      <w:r w:rsidRPr="00CE696F">
        <w:rPr>
          <w:rFonts w:ascii="Bookman Old Style" w:hAnsi="Bookman Old Style" w:cstheme="majorBidi"/>
        </w:rPr>
        <w:t xml:space="preserve">(perusakan) dan </w:t>
      </w:r>
      <w:r w:rsidRPr="00CE696F">
        <w:rPr>
          <w:rFonts w:ascii="Bookman Old Style" w:hAnsi="Bookman Old Style" w:cstheme="majorBidi"/>
          <w:i/>
          <w:iCs/>
        </w:rPr>
        <w:t xml:space="preserve">ghasab </w:t>
      </w:r>
      <w:r w:rsidRPr="00CE696F">
        <w:rPr>
          <w:rFonts w:ascii="Bookman Old Style" w:hAnsi="Bookman Old Style" w:cstheme="majorBidi"/>
        </w:rPr>
        <w:t xml:space="preserve">(perampasan), karena dua perbuatan ini yang kemudian melahirkan </w:t>
      </w:r>
      <w:r w:rsidRPr="00CE696F">
        <w:rPr>
          <w:rFonts w:ascii="Bookman Old Style" w:hAnsi="Bookman Old Style" w:cstheme="majorBidi"/>
          <w:i/>
          <w:iCs/>
        </w:rPr>
        <w:t xml:space="preserve">dhamân </w:t>
      </w:r>
      <w:r w:rsidRPr="00CE696F">
        <w:rPr>
          <w:rFonts w:ascii="Bookman Old Style" w:hAnsi="Bookman Old Style" w:cstheme="majorBidi"/>
        </w:rPr>
        <w:t>(pertanggungjawaban hukum). Kendati demikian, di tempat lain, para pakar menambahkan klausul lain sebagai perbuatan melawan hukum (</w:t>
      </w:r>
      <w:r w:rsidRPr="00CE696F">
        <w:rPr>
          <w:rFonts w:ascii="Bookman Old Style" w:hAnsi="Bookman Old Style" w:cstheme="majorBidi"/>
          <w:i/>
          <w:iCs/>
        </w:rPr>
        <w:t>al-fi’lu ad-dharar</w:t>
      </w:r>
      <w:r w:rsidRPr="00CE696F">
        <w:rPr>
          <w:rFonts w:ascii="Bookman Old Style" w:hAnsi="Bookman Old Style" w:cstheme="majorBidi"/>
        </w:rPr>
        <w:t xml:space="preserve">) yang juga melahirkan </w:t>
      </w:r>
      <w:r w:rsidRPr="00CE696F">
        <w:rPr>
          <w:rFonts w:ascii="Bookman Old Style" w:hAnsi="Bookman Old Style" w:cstheme="majorBidi"/>
          <w:i/>
          <w:iCs/>
        </w:rPr>
        <w:t xml:space="preserve">dhamân, </w:t>
      </w:r>
      <w:r w:rsidRPr="00CE696F">
        <w:rPr>
          <w:rFonts w:ascii="Bookman Old Style" w:hAnsi="Bookman Old Style" w:cstheme="majorBidi"/>
        </w:rPr>
        <w:t>yaitu “kesewenangan/kecerobohan menggunakan hak (</w:t>
      </w:r>
      <w:r w:rsidRPr="00CE696F">
        <w:rPr>
          <w:rFonts w:ascii="Bookman Old Style" w:hAnsi="Bookman Old Style" w:cstheme="majorBidi"/>
          <w:i/>
          <w:iCs/>
        </w:rPr>
        <w:t>al-ta’asuf fî isti’mâl al-</w:t>
      </w:r>
      <w:r w:rsidRPr="00CE696F">
        <w:rPr>
          <w:rFonts w:ascii="Bookman Old Style" w:hAnsi="Bookman Old Style" w:cstheme="majorBidi"/>
          <w:i/>
          <w:iCs/>
          <w:u w:val="single"/>
        </w:rPr>
        <w:t>h</w:t>
      </w:r>
      <w:r w:rsidRPr="00CE696F">
        <w:rPr>
          <w:rFonts w:ascii="Bookman Old Style" w:hAnsi="Bookman Old Style" w:cstheme="majorBidi"/>
          <w:i/>
          <w:iCs/>
        </w:rPr>
        <w:t>aqq</w:t>
      </w:r>
      <w:r w:rsidRPr="00CE696F">
        <w:rPr>
          <w:rFonts w:ascii="Bookman Old Style" w:hAnsi="Bookman Old Style" w:cstheme="majorBidi"/>
        </w:rPr>
        <w:t xml:space="preserve">). Selain itu, ada juga klasusul </w:t>
      </w:r>
      <w:r w:rsidRPr="00CE696F">
        <w:rPr>
          <w:rFonts w:ascii="Bookman Old Style" w:hAnsi="Bookman Old Style" w:cstheme="majorBidi"/>
          <w:i/>
          <w:iCs/>
        </w:rPr>
        <w:t xml:space="preserve">wadha’ al-yad </w:t>
      </w:r>
      <w:r w:rsidRPr="00CE696F">
        <w:rPr>
          <w:rFonts w:ascii="Bookman Old Style" w:hAnsi="Bookman Old Style" w:cstheme="majorBidi"/>
        </w:rPr>
        <w:t>(penguasaan) tanpa hak.</w:t>
      </w:r>
      <w:r w:rsidR="00CD1EF1">
        <w:rPr>
          <w:rFonts w:ascii="Bookman Old Style" w:hAnsi="Bookman Old Style" w:cstheme="majorBidi"/>
        </w:rPr>
        <w:fldChar w:fldCharType="begin" w:fldLock="1"/>
      </w:r>
      <w:r w:rsidR="00CD1EF1">
        <w:rPr>
          <w:rFonts w:ascii="Bookman Old Style" w:hAnsi="Bookman Old Style" w:cstheme="majorBidi"/>
        </w:rPr>
        <w:instrText>ADDIN CSL_CITATION {"citationItems":[{"id":"ITEM-1","itemData":{"author":[{"dropping-particle":"","family":"Amran Suadi","given":"","non-dropping-particle":"","parse-names":false,"suffix":""}],"id":"ITEM-1","issued":{"date-parts":[["2020"]]},"number-of-pages":"113","publisher":"PT RajaGrafindo Persada","publisher-place":"Jakarta","title":"Wanprestasi Dan Perbuatan Melawan Hukum: Dalam Penyelesaian Sengketa Ekonomi Syariah","type":"book"},"uris":["http://www.mendeley.com/documents/?uuid=8e34e13a-19a6-450f-bd7b-70d72f8cbdc6"]}],"mendeley":{"formattedCitation":"(Amran Suadi, 2020)","plainTextFormattedCitation":"(Amran Suadi, 2020)","previouslyFormattedCitation":"(Amran Suadi, 2020)"},"properties":{"noteIndex":0},"schema":"https://github.com/citation-style-language/schema/raw/master/csl-citation.json"}</w:instrText>
      </w:r>
      <w:r w:rsidR="00CD1EF1">
        <w:rPr>
          <w:rFonts w:ascii="Bookman Old Style" w:hAnsi="Bookman Old Style" w:cstheme="majorBidi"/>
        </w:rPr>
        <w:fldChar w:fldCharType="separate"/>
      </w:r>
      <w:r w:rsidR="00CD1EF1" w:rsidRPr="00CD1EF1">
        <w:rPr>
          <w:rFonts w:ascii="Bookman Old Style" w:hAnsi="Bookman Old Style" w:cstheme="majorBidi"/>
          <w:noProof/>
        </w:rPr>
        <w:t>(Amran Suadi, 2020)</w:t>
      </w:r>
      <w:r w:rsidR="00CD1EF1">
        <w:rPr>
          <w:rFonts w:ascii="Bookman Old Style" w:hAnsi="Bookman Old Style" w:cstheme="majorBidi"/>
        </w:rPr>
        <w:fldChar w:fldCharType="end"/>
      </w:r>
      <w:r w:rsidR="00500997">
        <w:rPr>
          <w:rFonts w:ascii="Bookman Old Style" w:hAnsi="Bookman Old Style" w:cstheme="majorBidi"/>
        </w:rPr>
        <w:t xml:space="preserve"> Berikut adalah objek dari perbuatan melawan hukum dalam hukum ekonomi syariah:</w:t>
      </w:r>
    </w:p>
    <w:p w14:paraId="2E2EF12A" w14:textId="45CC54B8" w:rsidR="008235CD" w:rsidRDefault="00663A72" w:rsidP="008235CD">
      <w:pPr>
        <w:pStyle w:val="ListParagraph"/>
        <w:numPr>
          <w:ilvl w:val="0"/>
          <w:numId w:val="7"/>
        </w:numPr>
        <w:spacing w:after="0" w:line="240" w:lineRule="auto"/>
        <w:jc w:val="both"/>
        <w:rPr>
          <w:rFonts w:ascii="Bookman Old Style" w:hAnsi="Bookman Old Style" w:cstheme="majorBidi"/>
          <w:b/>
          <w:bCs/>
        </w:rPr>
      </w:pPr>
      <w:r>
        <w:rPr>
          <w:rFonts w:ascii="Bookman Old Style" w:hAnsi="Bookman Old Style" w:cstheme="majorBidi"/>
          <w:b/>
          <w:bCs/>
        </w:rPr>
        <w:t>Ghasab</w:t>
      </w:r>
    </w:p>
    <w:p w14:paraId="4ADAFE52" w14:textId="22FB55D5" w:rsidR="00663A72" w:rsidRDefault="00FF3424" w:rsidP="00663A72">
      <w:pPr>
        <w:pStyle w:val="ListParagraph"/>
        <w:spacing w:after="0" w:line="240" w:lineRule="auto"/>
        <w:ind w:left="0" w:firstLine="720"/>
        <w:jc w:val="both"/>
        <w:rPr>
          <w:rFonts w:ascii="Bookman Old Style" w:hAnsi="Bookman Old Style" w:cstheme="majorBidi"/>
        </w:rPr>
      </w:pPr>
      <w:r>
        <w:rPr>
          <w:rFonts w:ascii="Bookman Old Style" w:hAnsi="Bookman Old Style" w:cstheme="majorBidi"/>
        </w:rPr>
        <w:t xml:space="preserve">Secara etimologis, </w:t>
      </w:r>
      <w:r>
        <w:rPr>
          <w:rFonts w:ascii="Bookman Old Style" w:hAnsi="Bookman Old Style" w:cstheme="majorBidi"/>
          <w:i/>
          <w:iCs/>
        </w:rPr>
        <w:t xml:space="preserve">ghasab </w:t>
      </w:r>
      <w:r>
        <w:rPr>
          <w:rFonts w:ascii="Bookman Old Style" w:hAnsi="Bookman Old Style" w:cstheme="majorBidi"/>
        </w:rPr>
        <w:t>berarti mengambil sesuatu secara paksa dan zalim.</w:t>
      </w:r>
      <w:r w:rsidR="00CD1EF1">
        <w:rPr>
          <w:rFonts w:ascii="Bookman Old Style" w:hAnsi="Bookman Old Style" w:cstheme="majorBidi"/>
        </w:rPr>
        <w:fldChar w:fldCharType="begin" w:fldLock="1"/>
      </w:r>
      <w:r w:rsidR="00874001">
        <w:rPr>
          <w:rFonts w:ascii="Bookman Old Style" w:hAnsi="Bookman Old Style" w:cstheme="majorBidi"/>
        </w:rPr>
        <w:instrText>ADDIN CSL_CITATION {"citationItems":[{"id":"ITEM-1","itemData":{"author":[{"dropping-particle":"","family":"Ibrahim Anis","given":"dkk","non-dropping-particle":"","parse-names":false,"suffix":""}],"id":"ITEM-1","issued":{"date-parts":[["1972"]]},"number-of-pages":"653","publisher":"Majma’ al-Lughah al-‘Arabiyyah","publisher-place":"Mesir","title":"al-Mu’jâm al-Was</w:instrText>
      </w:r>
      <w:r w:rsidR="00874001">
        <w:rPr>
          <w:rFonts w:ascii="Cambria" w:hAnsi="Cambria" w:cs="Cambria"/>
        </w:rPr>
        <w:instrText>ȋ</w:instrText>
      </w:r>
      <w:r w:rsidR="00874001">
        <w:rPr>
          <w:rFonts w:ascii="Bookman Old Style" w:hAnsi="Bookman Old Style" w:cstheme="majorBidi"/>
        </w:rPr>
        <w:instrText>th","type":"book"},"uris":["http://www.mendeley.com/documents/?uuid=ac852639-3c64-4dac-9be1-db4bc0121f58"]}],"mendeley":{"formattedCitation":"(Ibrahim Anis, 1972)","plainTextFormattedCitation":"(Ibrahim Anis, 1972)","previouslyFormattedCitation":"(Ibrahim Anis, 1972)"},"properties":{"noteIndex":0},"schema":"https://github.com/citation-style-language/schema/raw/master/csl-citation.json"}</w:instrText>
      </w:r>
      <w:r w:rsidR="00CD1EF1">
        <w:rPr>
          <w:rFonts w:ascii="Bookman Old Style" w:hAnsi="Bookman Old Style" w:cstheme="majorBidi"/>
        </w:rPr>
        <w:fldChar w:fldCharType="separate"/>
      </w:r>
      <w:r w:rsidR="00CD1EF1" w:rsidRPr="00CD1EF1">
        <w:rPr>
          <w:rFonts w:ascii="Bookman Old Style" w:hAnsi="Bookman Old Style" w:cstheme="majorBidi"/>
          <w:noProof/>
        </w:rPr>
        <w:t>(Ibrahim Anis, 1972)</w:t>
      </w:r>
      <w:r w:rsidR="00CD1EF1">
        <w:rPr>
          <w:rFonts w:ascii="Bookman Old Style" w:hAnsi="Bookman Old Style" w:cstheme="majorBidi"/>
        </w:rPr>
        <w:fldChar w:fldCharType="end"/>
      </w:r>
      <w:r>
        <w:rPr>
          <w:rFonts w:ascii="Bookman Old Style" w:hAnsi="Bookman Old Style" w:cstheme="majorBidi"/>
        </w:rPr>
        <w:t xml:space="preserve"> </w:t>
      </w:r>
      <w:r w:rsidR="00806CF7">
        <w:rPr>
          <w:rFonts w:ascii="Bookman Old Style" w:hAnsi="Bookman Old Style" w:cstheme="majorBidi"/>
        </w:rPr>
        <w:t>Adapun secara etimologis</w:t>
      </w:r>
      <w:r w:rsidR="00E60EB8">
        <w:rPr>
          <w:rFonts w:ascii="Bookman Old Style" w:hAnsi="Bookman Old Style" w:cstheme="majorBidi"/>
        </w:rPr>
        <w:t xml:space="preserve"> adalah upaya untuk menguasai hak orang lain secara permushan/terang-terangan. Menurut Nurul Irfan, </w:t>
      </w:r>
      <w:r w:rsidR="00E60EB8">
        <w:rPr>
          <w:rFonts w:ascii="Bookman Old Style" w:hAnsi="Bookman Old Style" w:cstheme="majorBidi"/>
          <w:i/>
          <w:iCs/>
        </w:rPr>
        <w:t xml:space="preserve">ghasab </w:t>
      </w:r>
      <w:r w:rsidR="00E60EB8">
        <w:rPr>
          <w:rFonts w:ascii="Bookman Old Style" w:hAnsi="Bookman Old Style" w:cstheme="majorBidi"/>
        </w:rPr>
        <w:t>adalah mengambil harta atau menguasai hak orang lain tanpa izin pemiliknya dengan unsur pemaksaan dan terkadang dengan kekerasan serta dilakukan secara terang-terangan.</w:t>
      </w:r>
      <w:r w:rsidR="00874001">
        <w:rPr>
          <w:rFonts w:ascii="Bookman Old Style" w:hAnsi="Bookman Old Style" w:cstheme="majorBidi"/>
        </w:rPr>
        <w:fldChar w:fldCharType="begin" w:fldLock="1"/>
      </w:r>
      <w:r w:rsidR="00C252C5">
        <w:rPr>
          <w:rFonts w:ascii="Bookman Old Style" w:hAnsi="Bookman Old Style" w:cstheme="majorBidi"/>
        </w:rPr>
        <w:instrText>ADDIN CSL_CITATION {"citationItems":[{"id":"ITEM-1","itemData":{"author":[{"dropping-particle":"","family":"M. Nurul Irfan","given":"","non-dropping-particle":"","parse-names":false,"suffix":""}],"id":"ITEM-1","issued":{"date-parts":[["2011"]]},"number-of-pages":"106","publisher":"Amzah","publisher-place":"Jakarta","title":"Korupsi dalam Hukum Pidana Islam","type":"book"},"uris":["http://www.mendeley.com/documents/?uuid=fd415cd1-dd39-4996-b0d4-8459e7e8318e"]}],"mendeley":{"formattedCitation":"(M. Nurul Irfan, 2011)","plainTextFormattedCitation":"(M. Nurul Irfan, 2011)","previouslyFormattedCitation":"(M. Nurul Irfan, 2011)"},"properties":{"noteIndex":0},"schema":"https://github.com/citation-style-language/schema/raw/master/csl-citation.json"}</w:instrText>
      </w:r>
      <w:r w:rsidR="00874001">
        <w:rPr>
          <w:rFonts w:ascii="Bookman Old Style" w:hAnsi="Bookman Old Style" w:cstheme="majorBidi"/>
        </w:rPr>
        <w:fldChar w:fldCharType="separate"/>
      </w:r>
      <w:r w:rsidR="00874001" w:rsidRPr="00874001">
        <w:rPr>
          <w:rFonts w:ascii="Bookman Old Style" w:hAnsi="Bookman Old Style" w:cstheme="majorBidi"/>
          <w:noProof/>
        </w:rPr>
        <w:t>(M. Nurul Irfan, 2011)</w:t>
      </w:r>
      <w:r w:rsidR="00874001">
        <w:rPr>
          <w:rFonts w:ascii="Bookman Old Style" w:hAnsi="Bookman Old Style" w:cstheme="majorBidi"/>
        </w:rPr>
        <w:fldChar w:fldCharType="end"/>
      </w:r>
      <w:r w:rsidR="007A6944">
        <w:rPr>
          <w:rFonts w:ascii="Bookman Old Style" w:hAnsi="Bookman Old Style" w:cstheme="majorBidi"/>
        </w:rPr>
        <w:t xml:space="preserve"> Sementara menurut Pasal 20 angka 15 KHES, </w:t>
      </w:r>
      <w:r w:rsidR="007A6944">
        <w:rPr>
          <w:rFonts w:ascii="Bookman Old Style" w:hAnsi="Bookman Old Style" w:cstheme="majorBidi"/>
          <w:i/>
          <w:iCs/>
        </w:rPr>
        <w:t xml:space="preserve">ghasab </w:t>
      </w:r>
      <w:r w:rsidR="007A6944">
        <w:rPr>
          <w:rFonts w:ascii="Bookman Old Style" w:hAnsi="Bookman Old Style" w:cstheme="majorBidi"/>
        </w:rPr>
        <w:t xml:space="preserve">didefinisikan dengan mengambil hak milik orang lain tanpa izin dan tanpa berniat untuk memilikinya. </w:t>
      </w:r>
    </w:p>
    <w:p w14:paraId="016DB087" w14:textId="05D456F6" w:rsidR="001C4836" w:rsidRDefault="001C4836" w:rsidP="00663A72">
      <w:pPr>
        <w:pStyle w:val="ListParagraph"/>
        <w:spacing w:after="0" w:line="240" w:lineRule="auto"/>
        <w:ind w:left="0" w:firstLine="720"/>
        <w:jc w:val="both"/>
        <w:rPr>
          <w:rFonts w:ascii="Bookman Old Style" w:hAnsi="Bookman Old Style" w:cstheme="majorBidi"/>
        </w:rPr>
      </w:pPr>
      <w:r>
        <w:rPr>
          <w:rFonts w:ascii="Bookman Old Style" w:hAnsi="Bookman Old Style" w:cstheme="majorBidi"/>
        </w:rPr>
        <w:t xml:space="preserve">Tambahan klausul “tanpa berniat memilikinya: ini cukup menimbulkan tanda tanya karena klausul demikian tidak di kenal dlaam khazanah fikih, selain bahwa di dalam kontrak hukum ekonomi syariah, </w:t>
      </w:r>
      <w:r w:rsidR="00AE225C">
        <w:rPr>
          <w:rFonts w:ascii="Bookman Old Style" w:hAnsi="Bookman Old Style" w:cstheme="majorBidi"/>
        </w:rPr>
        <w:t xml:space="preserve">“niat untuk memiliki atau tidak” bukan menjadi ansasir yang menentukan. </w:t>
      </w:r>
    </w:p>
    <w:p w14:paraId="3E18C58D" w14:textId="43C17E69" w:rsidR="006109D6" w:rsidRDefault="006109D6" w:rsidP="00663A72">
      <w:pPr>
        <w:pStyle w:val="ListParagraph"/>
        <w:spacing w:after="0" w:line="240" w:lineRule="auto"/>
        <w:ind w:left="0" w:firstLine="720"/>
        <w:jc w:val="both"/>
        <w:rPr>
          <w:rFonts w:ascii="Bookman Old Style" w:hAnsi="Bookman Old Style" w:cstheme="majorBidi"/>
        </w:rPr>
      </w:pPr>
      <w:r>
        <w:rPr>
          <w:rFonts w:ascii="Bookman Old Style" w:hAnsi="Bookman Old Style" w:cstheme="majorBidi"/>
        </w:rPr>
        <w:t xml:space="preserve">Pasal 430 KHES mepersamakan </w:t>
      </w:r>
      <w:r>
        <w:rPr>
          <w:rFonts w:ascii="Bookman Old Style" w:hAnsi="Bookman Old Style" w:cstheme="majorBidi"/>
          <w:i/>
          <w:iCs/>
        </w:rPr>
        <w:t xml:space="preserve">ghasab </w:t>
      </w:r>
      <w:r>
        <w:rPr>
          <w:rFonts w:ascii="Bookman Old Style" w:hAnsi="Bookman Old Style" w:cstheme="majorBidi"/>
        </w:rPr>
        <w:t xml:space="preserve">dengan perampasan, di mana pada Pasal 431 KHES kemudian memperluas makna </w:t>
      </w:r>
      <w:r>
        <w:rPr>
          <w:rFonts w:ascii="Bookman Old Style" w:hAnsi="Bookman Old Style" w:cstheme="majorBidi"/>
          <w:i/>
          <w:iCs/>
        </w:rPr>
        <w:t>ghasab</w:t>
      </w:r>
      <w:r>
        <w:rPr>
          <w:rFonts w:ascii="Bookman Old Style" w:hAnsi="Bookman Old Style" w:cstheme="majorBidi"/>
        </w:rPr>
        <w:t xml:space="preserve"> dalam dua bentuk, yaitu: </w:t>
      </w:r>
      <w:r>
        <w:rPr>
          <w:rFonts w:ascii="Bookman Old Style" w:hAnsi="Bookman Old Style" w:cstheme="majorBidi"/>
          <w:i/>
          <w:iCs/>
        </w:rPr>
        <w:t xml:space="preserve">pertama, </w:t>
      </w:r>
      <w:r>
        <w:rPr>
          <w:rFonts w:ascii="Bookman Old Style" w:hAnsi="Bookman Old Style" w:cstheme="majorBidi"/>
        </w:rPr>
        <w:t xml:space="preserve">peruatan menghalang-halangi seseorang/pihak untuk menggunakan kekayaannya; dan </w:t>
      </w:r>
      <w:r>
        <w:rPr>
          <w:rFonts w:ascii="Bookman Old Style" w:hAnsi="Bookman Old Style" w:cstheme="majorBidi"/>
          <w:i/>
          <w:iCs/>
        </w:rPr>
        <w:t>kedua</w:t>
      </w:r>
      <w:r>
        <w:rPr>
          <w:rFonts w:ascii="Bookman Old Style" w:hAnsi="Bookman Old Style" w:cstheme="majorBidi"/>
        </w:rPr>
        <w:t xml:space="preserve">, mengingkari keberadaan </w:t>
      </w:r>
      <w:r>
        <w:rPr>
          <w:rFonts w:ascii="Bookman Old Style" w:hAnsi="Bookman Old Style" w:cstheme="majorBidi"/>
          <w:i/>
          <w:iCs/>
        </w:rPr>
        <w:t>wad</w:t>
      </w:r>
      <w:r>
        <w:rPr>
          <w:rFonts w:ascii="Times New Roman" w:hAnsi="Times New Roman" w:cs="Times New Roman"/>
          <w:i/>
          <w:iCs/>
        </w:rPr>
        <w:t>ȋ</w:t>
      </w:r>
      <w:r>
        <w:rPr>
          <w:rFonts w:ascii="Bookman Old Style" w:hAnsi="Bookman Old Style" w:cstheme="majorBidi"/>
          <w:i/>
          <w:iCs/>
        </w:rPr>
        <w:t xml:space="preserve">’ah bih </w:t>
      </w:r>
      <w:r>
        <w:rPr>
          <w:rFonts w:ascii="Bookman Old Style" w:hAnsi="Bookman Old Style" w:cstheme="majorBidi"/>
        </w:rPr>
        <w:t xml:space="preserve">(barang titipan) seseorang yang ada padanya. </w:t>
      </w:r>
    </w:p>
    <w:p w14:paraId="711B601A" w14:textId="6DC5D15F" w:rsidR="006109D6" w:rsidRDefault="006109D6" w:rsidP="00663A72">
      <w:pPr>
        <w:pStyle w:val="ListParagraph"/>
        <w:spacing w:after="0" w:line="240" w:lineRule="auto"/>
        <w:ind w:left="0" w:firstLine="720"/>
        <w:jc w:val="both"/>
        <w:rPr>
          <w:rFonts w:ascii="Bookman Old Style" w:hAnsi="Bookman Old Style" w:cstheme="majorBidi"/>
        </w:rPr>
      </w:pPr>
      <w:r>
        <w:rPr>
          <w:rFonts w:ascii="Bookman Old Style" w:hAnsi="Bookman Old Style" w:cstheme="majorBidi"/>
        </w:rPr>
        <w:t xml:space="preserve">Para sarjana hukum Islam dari kalangan mazhab </w:t>
      </w:r>
      <w:r>
        <w:rPr>
          <w:rFonts w:ascii="Bookman Old Style" w:hAnsi="Bookman Old Style" w:cstheme="majorBidi"/>
          <w:u w:val="single"/>
        </w:rPr>
        <w:t>H</w:t>
      </w:r>
      <w:r>
        <w:rPr>
          <w:rFonts w:ascii="Bookman Old Style" w:hAnsi="Bookman Old Style" w:cstheme="majorBidi"/>
        </w:rPr>
        <w:t xml:space="preserve">anafi menjaslak bahwa </w:t>
      </w:r>
      <w:r>
        <w:rPr>
          <w:rFonts w:ascii="Bookman Old Style" w:hAnsi="Bookman Old Style" w:cstheme="majorBidi"/>
          <w:i/>
          <w:iCs/>
        </w:rPr>
        <w:t>ghasab</w:t>
      </w:r>
      <w:r>
        <w:rPr>
          <w:rFonts w:ascii="Bookman Old Style" w:hAnsi="Bookman Old Style" w:cstheme="majorBidi"/>
        </w:rPr>
        <w:t xml:space="preserve"> disyaratkan bahwa harta yang dirampas itu adalah harta yang bernilai (</w:t>
      </w:r>
      <w:r>
        <w:rPr>
          <w:rFonts w:ascii="Bookman Old Style" w:hAnsi="Bookman Old Style" w:cstheme="majorBidi"/>
          <w:i/>
          <w:iCs/>
        </w:rPr>
        <w:t>mutaqawwam</w:t>
      </w:r>
      <w:r>
        <w:rPr>
          <w:rFonts w:ascii="Bookman Old Style" w:hAnsi="Bookman Old Style" w:cstheme="majorBidi"/>
        </w:rPr>
        <w:t>) dan terlindungi (</w:t>
      </w:r>
      <w:r>
        <w:rPr>
          <w:rFonts w:ascii="Bookman Old Style" w:hAnsi="Bookman Old Style" w:cstheme="majorBidi"/>
          <w:i/>
          <w:iCs/>
        </w:rPr>
        <w:t>mu</w:t>
      </w:r>
      <w:r>
        <w:rPr>
          <w:rFonts w:ascii="Bookman Old Style" w:hAnsi="Bookman Old Style" w:cstheme="majorBidi"/>
          <w:i/>
          <w:iCs/>
          <w:u w:val="single"/>
        </w:rPr>
        <w:t>h</w:t>
      </w:r>
      <w:r>
        <w:rPr>
          <w:rFonts w:ascii="Bookman Old Style" w:hAnsi="Bookman Old Style" w:cstheme="majorBidi"/>
          <w:i/>
          <w:iCs/>
        </w:rPr>
        <w:t>taram</w:t>
      </w:r>
      <w:r>
        <w:rPr>
          <w:rFonts w:ascii="Bookman Old Style" w:hAnsi="Bookman Old Style" w:cstheme="majorBidi"/>
        </w:rPr>
        <w:t>)</w:t>
      </w:r>
      <w:r w:rsidR="00C252C5">
        <w:rPr>
          <w:rFonts w:ascii="Bookman Old Style" w:hAnsi="Bookman Old Style" w:cstheme="majorBidi"/>
        </w:rPr>
        <w:t>.</w:t>
      </w:r>
      <w:r w:rsidR="00C252C5">
        <w:rPr>
          <w:rFonts w:ascii="Bookman Old Style" w:hAnsi="Bookman Old Style" w:cstheme="majorBidi"/>
        </w:rPr>
        <w:fldChar w:fldCharType="begin" w:fldLock="1"/>
      </w:r>
      <w:r w:rsidR="00B9161F">
        <w:rPr>
          <w:rFonts w:ascii="Bookman Old Style" w:hAnsi="Bookman Old Style" w:cstheme="majorBidi"/>
        </w:rPr>
        <w:instrText>ADDIN CSL_CITATION {"citationItems":[{"id":"ITEM-1","itemData":{"author":[{"dropping-particle":"","family":"Abu Bakar al-Kasani","given":"","non-dropping-particle":"","parse-names":false,"suffix":""}],"id":"ITEM-1","issued":{"date-parts":[["1986"]]},"number-of-pages":"164","publisher":"Dâr al-Kutub al-‘Ilmiyyah","publisher-place":"Beirut","title":"Badâ’i al-Shanâ’i f</w:instrText>
      </w:r>
      <w:r w:rsidR="00B9161F">
        <w:rPr>
          <w:rFonts w:ascii="Cambria" w:hAnsi="Cambria" w:cs="Cambria"/>
        </w:rPr>
        <w:instrText>ȋ</w:instrText>
      </w:r>
      <w:r w:rsidR="00B9161F">
        <w:rPr>
          <w:rFonts w:ascii="Bookman Old Style" w:hAnsi="Bookman Old Style" w:cstheme="majorBidi"/>
        </w:rPr>
        <w:instrText xml:space="preserve"> Tart</w:instrText>
      </w:r>
      <w:r w:rsidR="00B9161F">
        <w:rPr>
          <w:rFonts w:ascii="Cambria" w:hAnsi="Cambria" w:cs="Cambria"/>
        </w:rPr>
        <w:instrText>ȋ</w:instrText>
      </w:r>
      <w:r w:rsidR="00B9161F">
        <w:rPr>
          <w:rFonts w:ascii="Bookman Old Style" w:hAnsi="Bookman Old Style" w:cstheme="majorBidi"/>
        </w:rPr>
        <w:instrText>b al-Syar</w:instrText>
      </w:r>
      <w:r w:rsidR="00B9161F">
        <w:rPr>
          <w:rFonts w:ascii="Bookman Old Style" w:hAnsi="Bookman Old Style" w:cs="Bookman Old Style"/>
        </w:rPr>
        <w:instrText>â’</w:instrText>
      </w:r>
      <w:r w:rsidR="00B9161F">
        <w:rPr>
          <w:rFonts w:ascii="Bookman Old Style" w:hAnsi="Bookman Old Style" w:cstheme="majorBidi"/>
        </w:rPr>
        <w:instrText>i","type":"book"},"uris":["http://www.mendeley.com/documents/?uuid=a071bd26-2e2e-4745-8524-dcb7fa87f7f1"]}],"mendeley":{"formattedCitation":"(Abu Bakar al-Kasani, 1986)","plainTextFormattedCitation":"(Abu Bakar al-Kasani, 1986)","previouslyFormattedCitation":"(Abu Bakar al-Kasani, 1986)"},"properties":{"noteIndex":0},"schema":"https://github.com/citation-style-language/schema/raw/master/csl-citation.json"}</w:instrText>
      </w:r>
      <w:r w:rsidR="00C252C5">
        <w:rPr>
          <w:rFonts w:ascii="Bookman Old Style" w:hAnsi="Bookman Old Style" w:cstheme="majorBidi"/>
        </w:rPr>
        <w:fldChar w:fldCharType="separate"/>
      </w:r>
      <w:r w:rsidR="00C252C5" w:rsidRPr="00C252C5">
        <w:rPr>
          <w:rFonts w:ascii="Bookman Old Style" w:hAnsi="Bookman Old Style" w:cstheme="majorBidi"/>
          <w:noProof/>
        </w:rPr>
        <w:t>(Abu Bakar al-Kasani, 1986)</w:t>
      </w:r>
      <w:r w:rsidR="00C252C5">
        <w:rPr>
          <w:rFonts w:ascii="Bookman Old Style" w:hAnsi="Bookman Old Style" w:cstheme="majorBidi"/>
        </w:rPr>
        <w:fldChar w:fldCharType="end"/>
      </w:r>
    </w:p>
    <w:p w14:paraId="3324635D" w14:textId="16EDB5D2" w:rsidR="00DF3929" w:rsidRDefault="00DF3929" w:rsidP="00DF3929">
      <w:pPr>
        <w:pStyle w:val="ListParagraph"/>
        <w:numPr>
          <w:ilvl w:val="0"/>
          <w:numId w:val="7"/>
        </w:numPr>
        <w:spacing w:after="0" w:line="240" w:lineRule="auto"/>
        <w:jc w:val="both"/>
        <w:rPr>
          <w:rFonts w:ascii="Bookman Old Style" w:hAnsi="Bookman Old Style" w:cstheme="majorBidi"/>
          <w:b/>
          <w:bCs/>
        </w:rPr>
      </w:pPr>
      <w:r>
        <w:rPr>
          <w:rFonts w:ascii="Bookman Old Style" w:hAnsi="Bookman Old Style" w:cstheme="majorBidi"/>
          <w:b/>
          <w:bCs/>
        </w:rPr>
        <w:t xml:space="preserve">Itlâf </w:t>
      </w:r>
    </w:p>
    <w:p w14:paraId="38650591" w14:textId="3C9696BE" w:rsidR="00DF3929" w:rsidRDefault="00533618" w:rsidP="00DF3929">
      <w:pPr>
        <w:pStyle w:val="ListParagraph"/>
        <w:spacing w:after="0" w:line="240" w:lineRule="auto"/>
        <w:ind w:left="0" w:firstLine="720"/>
        <w:jc w:val="both"/>
        <w:rPr>
          <w:rFonts w:ascii="Bookman Old Style" w:hAnsi="Bookman Old Style" w:cstheme="majorBidi"/>
        </w:rPr>
      </w:pPr>
      <w:r>
        <w:rPr>
          <w:rFonts w:ascii="Bookman Old Style" w:hAnsi="Bookman Old Style" w:cstheme="majorBidi"/>
        </w:rPr>
        <w:t xml:space="preserve">Menurut Muhammad Rawas Qa’ajih, kata </w:t>
      </w:r>
      <w:r>
        <w:rPr>
          <w:rFonts w:ascii="Bookman Old Style" w:hAnsi="Bookman Old Style" w:cstheme="majorBidi"/>
          <w:i/>
          <w:iCs/>
        </w:rPr>
        <w:t xml:space="preserve">al-itlâf </w:t>
      </w:r>
      <w:r w:rsidR="00E14713">
        <w:rPr>
          <w:rFonts w:ascii="Bookman Old Style" w:hAnsi="Bookman Old Style" w:cstheme="majorBidi"/>
        </w:rPr>
        <w:t xml:space="preserve">secara etimologis bermakna </w:t>
      </w:r>
      <w:r w:rsidR="00E14713">
        <w:rPr>
          <w:rFonts w:ascii="Bookman Old Style" w:hAnsi="Bookman Old Style" w:cstheme="majorBidi"/>
          <w:i/>
          <w:iCs/>
        </w:rPr>
        <w:t xml:space="preserve">al-ifsâd </w:t>
      </w:r>
      <w:r w:rsidR="00E14713">
        <w:rPr>
          <w:rFonts w:ascii="Bookman Old Style" w:hAnsi="Bookman Old Style" w:cstheme="majorBidi"/>
        </w:rPr>
        <w:t xml:space="preserve">(perusakan), </w:t>
      </w:r>
      <w:r w:rsidR="00E14713">
        <w:rPr>
          <w:rFonts w:ascii="Bookman Old Style" w:hAnsi="Bookman Old Style" w:cstheme="majorBidi"/>
          <w:i/>
          <w:iCs/>
        </w:rPr>
        <w:t xml:space="preserve">al-ihlâk </w:t>
      </w:r>
      <w:r w:rsidR="00E14713">
        <w:rPr>
          <w:rFonts w:ascii="Bookman Old Style" w:hAnsi="Bookman Old Style" w:cstheme="majorBidi"/>
        </w:rPr>
        <w:t xml:space="preserve">(penghancuran) dan </w:t>
      </w:r>
      <w:r w:rsidR="00E14713">
        <w:rPr>
          <w:rFonts w:ascii="Bookman Old Style" w:hAnsi="Bookman Old Style" w:cstheme="majorBidi"/>
          <w:i/>
          <w:iCs/>
        </w:rPr>
        <w:t xml:space="preserve">al-ifnâ </w:t>
      </w:r>
      <w:r w:rsidR="00E14713">
        <w:rPr>
          <w:rFonts w:ascii="Bookman Old Style" w:hAnsi="Bookman Old Style" w:cstheme="majorBidi"/>
        </w:rPr>
        <w:t>(pemusnahan).</w:t>
      </w:r>
      <w:r w:rsidR="00B9161F">
        <w:rPr>
          <w:rFonts w:ascii="Bookman Old Style" w:hAnsi="Bookman Old Style" w:cstheme="majorBidi"/>
        </w:rPr>
        <w:fldChar w:fldCharType="begin" w:fldLock="1"/>
      </w:r>
      <w:r w:rsidR="00BD51CC">
        <w:rPr>
          <w:rFonts w:ascii="Bookman Old Style" w:hAnsi="Bookman Old Style" w:cstheme="majorBidi"/>
        </w:rPr>
        <w:instrText>ADDIN CSL_CITATION {"citationItems":[{"id":"ITEM-1","itemData":{"author":[{"dropping-particle":"","family":"Muhammad Rawas Qal’ajih","given":"","non-dropping-particle":"","parse-names":false,"suffix":""}],"id":"ITEM-1","issued":{"date-parts":[["1988"]]},"number-of-pages":"78","publisher":"Dâr al-Nafâis","publisher-place":"Yordania","title":"Mu’jam Lughat al-Fuqahâ","type":"book"},"uris":["http://www.mendeley.com/documents/?uuid=77b843a0-e654-47b1-b0fc-012ab08f72b0"]}],"mendeley":{"formattedCitation":"(Muhammad Rawas Qal’ajih, 1988)","plainTextFormattedCitation":"(Muhammad Rawas Qal’ajih, 1988)","previouslyFormattedCitation":"(Muhammad Rawas Qal’ajih, 1988)"},"properties":{"noteIndex":0},"schema":"https://github.com/citation-style-language/schema/raw/master/csl-citation.json"}</w:instrText>
      </w:r>
      <w:r w:rsidR="00B9161F">
        <w:rPr>
          <w:rFonts w:ascii="Bookman Old Style" w:hAnsi="Bookman Old Style" w:cstheme="majorBidi"/>
        </w:rPr>
        <w:fldChar w:fldCharType="separate"/>
      </w:r>
      <w:r w:rsidR="00B9161F" w:rsidRPr="00B9161F">
        <w:rPr>
          <w:rFonts w:ascii="Bookman Old Style" w:hAnsi="Bookman Old Style" w:cstheme="majorBidi"/>
          <w:noProof/>
        </w:rPr>
        <w:t>(Muhammad Rawas Qal’ajih, 1988)</w:t>
      </w:r>
      <w:r w:rsidR="00B9161F">
        <w:rPr>
          <w:rFonts w:ascii="Bookman Old Style" w:hAnsi="Bookman Old Style" w:cstheme="majorBidi"/>
        </w:rPr>
        <w:fldChar w:fldCharType="end"/>
      </w:r>
      <w:r w:rsidR="00E14713">
        <w:rPr>
          <w:rFonts w:ascii="Bookman Old Style" w:hAnsi="Bookman Old Style" w:cstheme="majorBidi"/>
        </w:rPr>
        <w:t xml:space="preserve"> Adapu</w:t>
      </w:r>
      <w:r w:rsidR="00B9161F">
        <w:rPr>
          <w:rFonts w:ascii="Bookman Old Style" w:hAnsi="Bookman Old Style" w:cstheme="majorBidi"/>
        </w:rPr>
        <w:t>n</w:t>
      </w:r>
      <w:r w:rsidR="00E14713">
        <w:rPr>
          <w:rFonts w:ascii="Bookman Old Style" w:hAnsi="Bookman Old Style" w:cstheme="majorBidi"/>
        </w:rPr>
        <w:t xml:space="preserve"> definisi </w:t>
      </w:r>
      <w:r w:rsidR="00E14713">
        <w:rPr>
          <w:rFonts w:ascii="Bookman Old Style" w:hAnsi="Bookman Old Style" w:cstheme="majorBidi"/>
          <w:i/>
          <w:iCs/>
        </w:rPr>
        <w:t xml:space="preserve">al-itlâf </w:t>
      </w:r>
      <w:r w:rsidR="00E14713">
        <w:rPr>
          <w:rFonts w:ascii="Bookman Old Style" w:hAnsi="Bookman Old Style" w:cstheme="majorBidi"/>
        </w:rPr>
        <w:lastRenderedPageBreak/>
        <w:t>secara terminilogi sebagaimana diinformasikan oleh Wahbah al-Zuhaili adalah:</w:t>
      </w:r>
    </w:p>
    <w:p w14:paraId="335E11E5" w14:textId="05677640" w:rsidR="00E14713" w:rsidRPr="00E14713" w:rsidRDefault="00E14713" w:rsidP="00E14713">
      <w:pPr>
        <w:pStyle w:val="ListParagraph"/>
        <w:spacing w:after="0" w:line="240" w:lineRule="auto"/>
        <w:ind w:left="0" w:firstLine="720"/>
        <w:jc w:val="right"/>
        <w:rPr>
          <w:rFonts w:ascii="Bookman Old Style" w:hAnsi="Bookman Old Style" w:cstheme="majorBidi"/>
          <w:sz w:val="32"/>
          <w:szCs w:val="32"/>
        </w:rPr>
      </w:pPr>
      <w:r w:rsidRPr="00E14713">
        <w:rPr>
          <w:rFonts w:ascii="Traditional Arabic" w:hAnsi="Traditional Arabic" w:cs="Traditional Arabic"/>
          <w:color w:val="000000"/>
          <w:sz w:val="32"/>
          <w:szCs w:val="32"/>
          <w:rtl/>
          <w:lang w:val="en-ID"/>
        </w:rPr>
        <w:t>لإتلاف: هو إخراج الشيء من أن يكون منتفعاً به منفعة مطلوبة منه عادة</w:t>
      </w:r>
    </w:p>
    <w:p w14:paraId="4D976257" w14:textId="25A2A55D" w:rsidR="00E14713" w:rsidRPr="0025196F" w:rsidRDefault="00E14713" w:rsidP="00E14713">
      <w:pPr>
        <w:pStyle w:val="ListParagraph"/>
        <w:spacing w:after="0" w:line="240" w:lineRule="auto"/>
        <w:jc w:val="both"/>
        <w:rPr>
          <w:rFonts w:ascii="Bookman Old Style" w:hAnsi="Bookman Old Style" w:cstheme="majorBidi"/>
        </w:rPr>
      </w:pPr>
      <w:r>
        <w:rPr>
          <w:rFonts w:ascii="Bookman Old Style" w:hAnsi="Bookman Old Style" w:cstheme="majorBidi"/>
        </w:rPr>
        <w:t>“</w:t>
      </w:r>
      <w:r>
        <w:rPr>
          <w:rFonts w:ascii="Bookman Old Style" w:hAnsi="Bookman Old Style" w:cstheme="majorBidi"/>
          <w:i/>
          <w:iCs/>
        </w:rPr>
        <w:t>Mengeluarkan sesuatu dari kondisinya yang bisa dimanfaatkan dan digunakan sebagaimana mestinya seperti yang biasa berlaku”</w:t>
      </w:r>
      <w:r w:rsidR="00BD51CC">
        <w:rPr>
          <w:rFonts w:ascii="Bookman Old Style" w:hAnsi="Bookman Old Style" w:cstheme="majorBidi"/>
          <w:i/>
          <w:iCs/>
        </w:rPr>
        <w:fldChar w:fldCharType="begin" w:fldLock="1"/>
      </w:r>
      <w:r w:rsidR="00046175">
        <w:rPr>
          <w:rFonts w:ascii="Bookman Old Style" w:hAnsi="Bookman Old Style" w:cstheme="majorBidi"/>
          <w:i/>
          <w:iCs/>
        </w:rPr>
        <w:instrText>ADDIN CSL_CITATION {"citationItems":[{"id":"ITEM-1","itemData":{"author":[{"dropping-particle":"","family":"Wahbah al-Zuhaili","given":"","non-dropping-particle":"","parse-names":false,"suffix":""}],"id":"ITEM-1","issued":{"date-parts":[["1997"]]},"number-of-pages":"4825","publisher":"Dâr al-Fikr","publisher-place":"Beirut","title":"al-Fiqh al-Islâm</w:instrText>
      </w:r>
      <w:r w:rsidR="00046175">
        <w:rPr>
          <w:rFonts w:ascii="Cambria" w:hAnsi="Cambria" w:cs="Cambria"/>
          <w:i/>
          <w:iCs/>
        </w:rPr>
        <w:instrText>ȋ</w:instrText>
      </w:r>
      <w:r w:rsidR="00046175">
        <w:rPr>
          <w:rFonts w:ascii="Bookman Old Style" w:hAnsi="Bookman Old Style" w:cstheme="majorBidi"/>
          <w:i/>
          <w:iCs/>
        </w:rPr>
        <w:instrText xml:space="preserve"> wa Adillatuh","type":"book"},"uris":["http://www.mendeley.com/documents/?uuid=3803c640-0fdd-4073-8ddb-e0fb4b315ab2"]}],"mendeley":{"formattedCitation":"(Wahbah al-Zuhaili, 1997)","plainTextFormattedCitation":"(Wahbah al-Zuhaili, 1997)","previouslyFormattedCitation":"(Wahbah al-Zuhaili, 1997)"},"properties":{"noteIndex":0},"schema":"https://github.com/citation-style-language/schema/raw/master/csl-citation.json"}</w:instrText>
      </w:r>
      <w:r w:rsidR="00BD51CC">
        <w:rPr>
          <w:rFonts w:ascii="Bookman Old Style" w:hAnsi="Bookman Old Style" w:cstheme="majorBidi"/>
          <w:i/>
          <w:iCs/>
        </w:rPr>
        <w:fldChar w:fldCharType="separate"/>
      </w:r>
      <w:r w:rsidR="00BD51CC" w:rsidRPr="00BD51CC">
        <w:rPr>
          <w:rFonts w:ascii="Bookman Old Style" w:hAnsi="Bookman Old Style" w:cstheme="majorBidi"/>
          <w:iCs/>
          <w:noProof/>
        </w:rPr>
        <w:t>(Wahbah al-Zuhaili, 1997)</w:t>
      </w:r>
      <w:r w:rsidR="00BD51CC">
        <w:rPr>
          <w:rFonts w:ascii="Bookman Old Style" w:hAnsi="Bookman Old Style" w:cstheme="majorBidi"/>
          <w:i/>
          <w:iCs/>
        </w:rPr>
        <w:fldChar w:fldCharType="end"/>
      </w:r>
      <w:r>
        <w:rPr>
          <w:rFonts w:ascii="Bookman Old Style" w:hAnsi="Bookman Old Style" w:cstheme="majorBidi"/>
          <w:i/>
          <w:iCs/>
        </w:rPr>
        <w:t>.</w:t>
      </w:r>
    </w:p>
    <w:p w14:paraId="0AC1309A" w14:textId="18C416CA" w:rsidR="003F0582" w:rsidRDefault="003F0582" w:rsidP="003F0582">
      <w:pPr>
        <w:pStyle w:val="ListParagraph"/>
        <w:spacing w:after="0" w:line="240" w:lineRule="auto"/>
        <w:ind w:left="0" w:firstLine="720"/>
        <w:jc w:val="both"/>
        <w:rPr>
          <w:rFonts w:ascii="Bookman Old Style" w:hAnsi="Bookman Old Style" w:cstheme="majorBidi"/>
        </w:rPr>
      </w:pPr>
      <w:r>
        <w:rPr>
          <w:rFonts w:ascii="Bookman Old Style" w:hAnsi="Bookman Old Style" w:cstheme="majorBidi"/>
        </w:rPr>
        <w:t xml:space="preserve">Denggan demikian yang dimaksud dengan </w:t>
      </w:r>
      <w:r>
        <w:rPr>
          <w:rFonts w:ascii="Bookman Old Style" w:hAnsi="Bookman Old Style" w:cstheme="majorBidi"/>
          <w:i/>
          <w:iCs/>
        </w:rPr>
        <w:t xml:space="preserve">al-itlâf </w:t>
      </w:r>
      <w:r>
        <w:rPr>
          <w:rFonts w:ascii="Bookman Old Style" w:hAnsi="Bookman Old Style" w:cstheme="majorBidi"/>
        </w:rPr>
        <w:t xml:space="preserve">adalah </w:t>
      </w:r>
      <w:r w:rsidR="00EF7173">
        <w:rPr>
          <w:rFonts w:ascii="Bookman Old Style" w:hAnsi="Bookman Old Style" w:cstheme="majorBidi"/>
        </w:rPr>
        <w:t>menjadikan</w:t>
      </w:r>
      <w:r>
        <w:rPr>
          <w:rFonts w:ascii="Bookman Old Style" w:hAnsi="Bookman Old Style" w:cstheme="majorBidi"/>
        </w:rPr>
        <w:t xml:space="preserve"> sesuatu tidak dapat dimanfaatkan dan digunakan sesuai dengan fungsinya yang semestinya. Tindakan pengrusakan atau </w:t>
      </w:r>
      <w:r>
        <w:rPr>
          <w:rFonts w:ascii="Bookman Old Style" w:hAnsi="Bookman Old Style" w:cstheme="majorBidi"/>
          <w:i/>
          <w:iCs/>
        </w:rPr>
        <w:t>al-itlâf</w:t>
      </w:r>
      <w:r>
        <w:rPr>
          <w:rFonts w:ascii="Bookman Old Style" w:hAnsi="Bookman Old Style" w:cstheme="majorBidi"/>
        </w:rPr>
        <w:t xml:space="preserve"> adalah sebab yang menetapkan adanya keharusan tanggungan denda, karena </w:t>
      </w:r>
      <w:r>
        <w:rPr>
          <w:rFonts w:ascii="Bookman Old Style" w:hAnsi="Bookman Old Style" w:cstheme="majorBidi"/>
          <w:i/>
          <w:iCs/>
        </w:rPr>
        <w:t xml:space="preserve">al-itlâf </w:t>
      </w:r>
      <w:r>
        <w:rPr>
          <w:rFonts w:ascii="Bookman Old Style" w:hAnsi="Bookman Old Style" w:cstheme="majorBidi"/>
        </w:rPr>
        <w:t xml:space="preserve">adalah sebuah bentuk pelanggaran dan tindakan yang berakibat mudarat serta kerugian. </w:t>
      </w:r>
    </w:p>
    <w:p w14:paraId="7C63B866" w14:textId="4F6EC1B4" w:rsidR="003F0582" w:rsidRDefault="003F0582" w:rsidP="003F0582">
      <w:pPr>
        <w:pStyle w:val="ListParagraph"/>
        <w:spacing w:after="0" w:line="240" w:lineRule="auto"/>
        <w:ind w:left="0" w:firstLine="720"/>
        <w:jc w:val="both"/>
        <w:rPr>
          <w:rFonts w:ascii="Bookman Old Style" w:hAnsi="Bookman Old Style" w:cstheme="majorBidi"/>
        </w:rPr>
      </w:pPr>
      <w:r>
        <w:rPr>
          <w:rFonts w:ascii="Bookman Old Style" w:hAnsi="Bookman Old Style" w:cstheme="majorBidi"/>
        </w:rPr>
        <w:t>Apabila tanggungan denda diberlakukan akibat tindakan penggasaban, maka tentunya secara prioritas tanggungan denda juga diberlakukan akibat tindakan perusakan (</w:t>
      </w:r>
      <w:r>
        <w:rPr>
          <w:rFonts w:ascii="Bookman Old Style" w:hAnsi="Bookman Old Style" w:cstheme="majorBidi"/>
          <w:i/>
          <w:iCs/>
        </w:rPr>
        <w:t>al-itlâf</w:t>
      </w:r>
      <w:r>
        <w:rPr>
          <w:rFonts w:ascii="Bookman Old Style" w:hAnsi="Bookman Old Style" w:cstheme="majorBidi"/>
        </w:rPr>
        <w:t xml:space="preserve">). Karena </w:t>
      </w:r>
      <w:r>
        <w:rPr>
          <w:rFonts w:ascii="Bookman Old Style" w:hAnsi="Bookman Old Style" w:cstheme="majorBidi"/>
          <w:i/>
          <w:iCs/>
        </w:rPr>
        <w:t xml:space="preserve">al-itlâf </w:t>
      </w:r>
      <w:r>
        <w:rPr>
          <w:rFonts w:ascii="Bookman Old Style" w:hAnsi="Bookman Old Style" w:cstheme="majorBidi"/>
        </w:rPr>
        <w:t xml:space="preserve">adalah murni sebuah pelanggaran dan tindakan yang menimbulkan kemudaratan. </w:t>
      </w:r>
    </w:p>
    <w:p w14:paraId="79A8697C" w14:textId="3A281A75" w:rsidR="004771AF" w:rsidRDefault="003F0582" w:rsidP="004771AF">
      <w:pPr>
        <w:pStyle w:val="ListParagraph"/>
        <w:spacing w:after="0" w:line="240" w:lineRule="auto"/>
        <w:ind w:left="0" w:firstLine="720"/>
        <w:jc w:val="both"/>
        <w:rPr>
          <w:rFonts w:ascii="Bookman Old Style" w:hAnsi="Bookman Old Style" w:cstheme="majorBidi"/>
        </w:rPr>
      </w:pPr>
      <w:r>
        <w:rPr>
          <w:rFonts w:ascii="Bookman Old Style" w:hAnsi="Bookman Old Style" w:cstheme="majorBidi"/>
        </w:rPr>
        <w:t xml:space="preserve">Menurut Hanan binti Muhammad Husain Jastanih, </w:t>
      </w:r>
      <w:r>
        <w:rPr>
          <w:rFonts w:ascii="Bookman Old Style" w:hAnsi="Bookman Old Style" w:cstheme="majorBidi"/>
          <w:i/>
          <w:iCs/>
        </w:rPr>
        <w:t xml:space="preserve">al-itlâf </w:t>
      </w:r>
      <w:r>
        <w:rPr>
          <w:rFonts w:ascii="Bookman Old Style" w:hAnsi="Bookman Old Style" w:cstheme="majorBidi"/>
        </w:rPr>
        <w:t xml:space="preserve">dibagi menjadi 2 (dua), yaitu </w:t>
      </w:r>
      <w:r>
        <w:rPr>
          <w:rFonts w:ascii="Bookman Old Style" w:hAnsi="Bookman Old Style" w:cstheme="majorBidi"/>
          <w:i/>
          <w:iCs/>
        </w:rPr>
        <w:t xml:space="preserve">pertama, al-itlâf al-mubâsyarah, </w:t>
      </w:r>
      <w:r>
        <w:rPr>
          <w:rFonts w:ascii="Bookman Old Style" w:hAnsi="Bookman Old Style" w:cstheme="majorBidi"/>
        </w:rPr>
        <w:t xml:space="preserve">yaitu pengrusakan barang milik orang secara langsung dan pelakunya disebut dengan </w:t>
      </w:r>
      <w:r>
        <w:rPr>
          <w:rFonts w:ascii="Bookman Old Style" w:hAnsi="Bookman Old Style" w:cstheme="majorBidi"/>
          <w:i/>
          <w:iCs/>
        </w:rPr>
        <w:t>fâ’il mubâsyir; kedua, al-itlâf bi al-sabab</w:t>
      </w:r>
      <w:r>
        <w:rPr>
          <w:rFonts w:ascii="Bookman Old Style" w:hAnsi="Bookman Old Style" w:cstheme="majorBidi"/>
        </w:rPr>
        <w:t>, yaitu perusakan yang menjadi sebab terjadinya perusakan pada suatu barang.</w:t>
      </w:r>
      <w:r w:rsidR="00046175">
        <w:rPr>
          <w:rFonts w:ascii="Bookman Old Style" w:hAnsi="Bookman Old Style" w:cstheme="majorBidi"/>
        </w:rPr>
        <w:fldChar w:fldCharType="begin" w:fldLock="1"/>
      </w:r>
      <w:r w:rsidR="000542D1">
        <w:rPr>
          <w:rFonts w:ascii="Bookman Old Style" w:hAnsi="Bookman Old Style" w:cstheme="majorBidi"/>
        </w:rPr>
        <w:instrText>ADDIN CSL_CITATION {"citationItems":[{"id":"ITEM-1","itemData":{"author":[{"dropping-particle":"","family":"Hanan binti Muhammad Husain Jastanih","given":"","non-dropping-particle":"","parse-names":false,"suffix":""}],"id":"ITEM-1","issued":{"date-parts":[["1998"]]},"number-of-pages":"135","publisher":"Universitas Umm al-Qura","publisher-place":"Mekah","title":"Aqsâm al-‘Uq</w:instrText>
      </w:r>
      <w:r w:rsidR="000542D1">
        <w:rPr>
          <w:rFonts w:ascii="Cambria" w:hAnsi="Cambria" w:cs="Cambria"/>
        </w:rPr>
        <w:instrText>ȗ</w:instrText>
      </w:r>
      <w:r w:rsidR="000542D1">
        <w:rPr>
          <w:rFonts w:ascii="Bookman Old Style" w:hAnsi="Bookman Old Style" w:cstheme="majorBidi"/>
        </w:rPr>
        <w:instrText>d f</w:instrText>
      </w:r>
      <w:r w:rsidR="000542D1">
        <w:rPr>
          <w:rFonts w:ascii="Cambria" w:hAnsi="Cambria" w:cs="Cambria"/>
        </w:rPr>
        <w:instrText>ȋ</w:instrText>
      </w:r>
      <w:r w:rsidR="000542D1">
        <w:rPr>
          <w:rFonts w:ascii="Bookman Old Style" w:hAnsi="Bookman Old Style" w:cstheme="majorBidi"/>
        </w:rPr>
        <w:instrText xml:space="preserve"> al-Fiqh al-Isl</w:instrText>
      </w:r>
      <w:r w:rsidR="000542D1">
        <w:rPr>
          <w:rFonts w:ascii="Bookman Old Style" w:hAnsi="Bookman Old Style" w:cs="Bookman Old Style"/>
        </w:rPr>
        <w:instrText>â</w:instrText>
      </w:r>
      <w:r w:rsidR="000542D1">
        <w:rPr>
          <w:rFonts w:ascii="Bookman Old Style" w:hAnsi="Bookman Old Style" w:cstheme="majorBidi"/>
        </w:rPr>
        <w:instrText>m</w:instrText>
      </w:r>
      <w:r w:rsidR="000542D1">
        <w:rPr>
          <w:rFonts w:ascii="Cambria" w:hAnsi="Cambria" w:cs="Cambria"/>
        </w:rPr>
        <w:instrText>ȋ</w:instrText>
      </w:r>
      <w:r w:rsidR="000542D1">
        <w:rPr>
          <w:rFonts w:ascii="Bookman Old Style" w:hAnsi="Bookman Old Style" w:cstheme="majorBidi"/>
        </w:rPr>
        <w:instrText>","type":"book"},"uris":["http://www.mendeley.com/documents/?uuid=24ce453f-be90-4bca-87bc-9aa8a9c2b7da"]}],"mendeley":{"formattedCitation":"(Hanan binti Muhammad Husain Jastanih, 1998)","plainTextFormattedCitation":"(Hanan binti Muhammad Husain Jastanih, 1998)","previouslyFormattedCitation":"(Hanan binti Muhammad Husain Jastanih, 1998)"},"properties":{"noteIndex":0},"schema":"https://github.com/citation-style-language/schema/raw/master/csl-citation.json"}</w:instrText>
      </w:r>
      <w:r w:rsidR="00046175">
        <w:rPr>
          <w:rFonts w:ascii="Bookman Old Style" w:hAnsi="Bookman Old Style" w:cstheme="majorBidi"/>
        </w:rPr>
        <w:fldChar w:fldCharType="separate"/>
      </w:r>
      <w:r w:rsidR="00046175" w:rsidRPr="00046175">
        <w:rPr>
          <w:rFonts w:ascii="Bookman Old Style" w:hAnsi="Bookman Old Style" w:cstheme="majorBidi"/>
          <w:noProof/>
        </w:rPr>
        <w:t>(Hanan binti Muhammad Husain Jastanih, 1998)</w:t>
      </w:r>
      <w:r w:rsidR="00046175">
        <w:rPr>
          <w:rFonts w:ascii="Bookman Old Style" w:hAnsi="Bookman Old Style" w:cstheme="majorBidi"/>
        </w:rPr>
        <w:fldChar w:fldCharType="end"/>
      </w:r>
    </w:p>
    <w:p w14:paraId="1D590CB7" w14:textId="4A8767C2" w:rsidR="00E607B9" w:rsidRDefault="00B018CC" w:rsidP="00E607B9">
      <w:pPr>
        <w:pStyle w:val="ListParagraph"/>
        <w:numPr>
          <w:ilvl w:val="0"/>
          <w:numId w:val="7"/>
        </w:numPr>
        <w:spacing w:after="0" w:line="240" w:lineRule="auto"/>
        <w:jc w:val="both"/>
        <w:rPr>
          <w:rFonts w:ascii="Bookman Old Style" w:hAnsi="Bookman Old Style" w:cstheme="majorBidi"/>
          <w:b/>
          <w:bCs/>
        </w:rPr>
      </w:pPr>
      <w:r>
        <w:rPr>
          <w:rFonts w:ascii="Bookman Old Style" w:hAnsi="Bookman Old Style" w:cstheme="majorBidi"/>
          <w:b/>
          <w:bCs/>
        </w:rPr>
        <w:t>Al-Ta’asuf F</w:t>
      </w:r>
      <w:r>
        <w:rPr>
          <w:rFonts w:ascii="Times New Roman" w:hAnsi="Times New Roman" w:cs="Times New Roman"/>
          <w:b/>
          <w:bCs/>
        </w:rPr>
        <w:t>ȋ</w:t>
      </w:r>
      <w:r>
        <w:rPr>
          <w:rFonts w:ascii="Bookman Old Style" w:hAnsi="Bookman Old Style" w:cstheme="majorBidi"/>
          <w:b/>
          <w:bCs/>
        </w:rPr>
        <w:t xml:space="preserve"> Isti’mâ</w:t>
      </w:r>
      <w:r w:rsidR="00EF620A">
        <w:rPr>
          <w:rFonts w:ascii="Bookman Old Style" w:hAnsi="Bookman Old Style" w:cstheme="majorBidi"/>
          <w:b/>
          <w:bCs/>
        </w:rPr>
        <w:t>l</w:t>
      </w:r>
      <w:r>
        <w:rPr>
          <w:rFonts w:ascii="Bookman Old Style" w:hAnsi="Bookman Old Style" w:cstheme="majorBidi"/>
          <w:b/>
          <w:bCs/>
        </w:rPr>
        <w:t xml:space="preserve"> al-</w:t>
      </w:r>
      <w:r>
        <w:rPr>
          <w:rFonts w:ascii="Bookman Old Style" w:hAnsi="Bookman Old Style" w:cstheme="majorBidi"/>
          <w:b/>
          <w:bCs/>
          <w:u w:val="single"/>
        </w:rPr>
        <w:t>H</w:t>
      </w:r>
      <w:r>
        <w:rPr>
          <w:rFonts w:ascii="Bookman Old Style" w:hAnsi="Bookman Old Style" w:cstheme="majorBidi"/>
          <w:b/>
          <w:bCs/>
        </w:rPr>
        <w:t>aq</w:t>
      </w:r>
    </w:p>
    <w:p w14:paraId="3EF38EC1" w14:textId="152E9D2F" w:rsidR="00B018CC" w:rsidRDefault="00B018CC" w:rsidP="00B018CC">
      <w:pPr>
        <w:pStyle w:val="ListParagraph"/>
        <w:spacing w:after="0" w:line="240" w:lineRule="auto"/>
        <w:ind w:left="0" w:firstLine="720"/>
        <w:jc w:val="both"/>
        <w:rPr>
          <w:rFonts w:ascii="Bookman Old Style" w:hAnsi="Bookman Old Style" w:cstheme="majorBidi"/>
        </w:rPr>
      </w:pPr>
      <w:r>
        <w:rPr>
          <w:rFonts w:ascii="Bookman Old Style" w:hAnsi="Bookman Old Style" w:cstheme="majorBidi"/>
        </w:rPr>
        <w:t xml:space="preserve">Secara etimilogis, kata </w:t>
      </w:r>
      <w:r>
        <w:rPr>
          <w:rFonts w:ascii="Bookman Old Style" w:hAnsi="Bookman Old Style" w:cstheme="majorBidi"/>
          <w:i/>
          <w:iCs/>
        </w:rPr>
        <w:t xml:space="preserve">ta’asuf” </w:t>
      </w:r>
      <w:r>
        <w:rPr>
          <w:rFonts w:ascii="Bookman Old Style" w:hAnsi="Bookman Old Style" w:cstheme="majorBidi"/>
        </w:rPr>
        <w:t>dalam bahasa Arab bermakna bertindak sewenang-wenang, mengerjakan dengan serampangan, kelalaiman, aniaya, penindasan.</w:t>
      </w:r>
      <w:r w:rsidR="00684DE9">
        <w:rPr>
          <w:rFonts w:ascii="Bookman Old Style" w:hAnsi="Bookman Old Style" w:cstheme="majorBidi"/>
        </w:rPr>
        <w:fldChar w:fldCharType="begin" w:fldLock="1"/>
      </w:r>
      <w:r w:rsidR="00144139">
        <w:rPr>
          <w:rFonts w:ascii="Bookman Old Style" w:hAnsi="Bookman Old Style" w:cstheme="majorBidi"/>
        </w:rPr>
        <w:instrText>ADDIN CSL_CITATION {"citationItems":[{"id":"ITEM-1","itemData":{"author":[{"dropping-particle":"","family":"Ahmad Warson Munawwar","given":"","non-dropping-particle":"","parse-names":false,"suffix":""}],"id":"ITEM-1","issued":{"date-parts":[["1997"]]},"number-of-pages":"930","publisher":"Pustaka Progresif","publisher-place":"Yogyakarta","title":"Al-Munawwir: Kamus Arab-Indonesia","type":"book"},"uris":["http://www.mendeley.com/documents/?uuid=9ce83f66-8f3b-4d19-a14e-3b9cd6c8f491"]}],"mendeley":{"formattedCitation":"(Ahmad Warson Munawwar, 1997)","plainTextFormattedCitation":"(Ahmad Warson Munawwar, 1997)","previouslyFormattedCitation":"(Ahmad Warson Munawwar, 1997)"},"properties":{"noteIndex":0},"schema":"https://github.com/citation-style-language/schema/raw/master/csl-citation.json"}</w:instrText>
      </w:r>
      <w:r w:rsidR="00684DE9">
        <w:rPr>
          <w:rFonts w:ascii="Bookman Old Style" w:hAnsi="Bookman Old Style" w:cstheme="majorBidi"/>
        </w:rPr>
        <w:fldChar w:fldCharType="separate"/>
      </w:r>
      <w:r w:rsidR="00684DE9" w:rsidRPr="00684DE9">
        <w:rPr>
          <w:rFonts w:ascii="Bookman Old Style" w:hAnsi="Bookman Old Style" w:cstheme="majorBidi"/>
          <w:noProof/>
        </w:rPr>
        <w:t>(Ahmad Warson Munawwar, 1997)</w:t>
      </w:r>
      <w:r w:rsidR="00684DE9">
        <w:rPr>
          <w:rFonts w:ascii="Bookman Old Style" w:hAnsi="Bookman Old Style" w:cstheme="majorBidi"/>
        </w:rPr>
        <w:fldChar w:fldCharType="end"/>
      </w:r>
      <w:r w:rsidR="00693E26">
        <w:rPr>
          <w:rFonts w:ascii="Bookman Old Style" w:hAnsi="Bookman Old Style" w:cstheme="majorBidi"/>
        </w:rPr>
        <w:t xml:space="preserve"> Para sarjana hukum Islam memberikan definisi </w:t>
      </w:r>
      <w:r w:rsidR="00693E26">
        <w:rPr>
          <w:rFonts w:ascii="Bookman Old Style" w:hAnsi="Bookman Old Style" w:cstheme="majorBidi"/>
          <w:i/>
          <w:iCs/>
        </w:rPr>
        <w:t xml:space="preserve">ta’asuf </w:t>
      </w:r>
      <w:r w:rsidR="00693E26">
        <w:rPr>
          <w:rFonts w:ascii="Bookman Old Style" w:hAnsi="Bookman Old Style" w:cstheme="majorBidi"/>
        </w:rPr>
        <w:t xml:space="preserve">secara terminologi sebagai perbuatan yang melampaui batas. Menurut Muhammad Abd al-Bar memberikan batasan tentang </w:t>
      </w:r>
      <w:r w:rsidR="00693E26">
        <w:rPr>
          <w:rFonts w:ascii="Bookman Old Style" w:hAnsi="Bookman Old Style" w:cstheme="majorBidi"/>
          <w:i/>
          <w:iCs/>
        </w:rPr>
        <w:t xml:space="preserve">ta’asuf </w:t>
      </w:r>
      <w:r w:rsidR="00693E26">
        <w:rPr>
          <w:rFonts w:ascii="Bookman Old Style" w:hAnsi="Bookman Old Style" w:cstheme="majorBidi"/>
        </w:rPr>
        <w:t>sebagai perbuatan yang menyebabkan kerusakan terhadap orang lain melalui perbuatan yang tidak dibenarkan.</w:t>
      </w:r>
      <w:r w:rsidR="00144139">
        <w:rPr>
          <w:rFonts w:ascii="Bookman Old Style" w:hAnsi="Bookman Old Style" w:cstheme="majorBidi"/>
        </w:rPr>
        <w:fldChar w:fldCharType="begin" w:fldLock="1"/>
      </w:r>
      <w:r w:rsidR="00144139">
        <w:rPr>
          <w:rFonts w:ascii="Bookman Old Style" w:hAnsi="Bookman Old Style" w:cstheme="majorBidi"/>
        </w:rPr>
        <w:instrText>ADDIN CSL_CITATION {"citationItems":[{"id":"ITEM-1","itemData":{"author":[{"dropping-particle":"","family":"Muhammad Zaki Abd al-Bar","given":"","non-dropping-particle":"","parse-names":false,"suffix":""}],"id":"ITEM-1","issued":{"date-parts":[["1989"]]},"number-of-pages":"47","publisher":"Dâr al-Kutub","publisher-place":"Beirut","title":"Istimâl al-haq f</w:instrText>
      </w:r>
      <w:r w:rsidR="00144139">
        <w:rPr>
          <w:rFonts w:ascii="Cambria" w:hAnsi="Cambria" w:cs="Cambria"/>
        </w:rPr>
        <w:instrText>ȋ</w:instrText>
      </w:r>
      <w:r w:rsidR="00144139">
        <w:rPr>
          <w:rFonts w:ascii="Bookman Old Style" w:hAnsi="Bookman Old Style" w:cstheme="majorBidi"/>
        </w:rPr>
        <w:instrText xml:space="preserve"> Fiqh al-Isl</w:instrText>
      </w:r>
      <w:r w:rsidR="00144139">
        <w:rPr>
          <w:rFonts w:ascii="Bookman Old Style" w:hAnsi="Bookman Old Style" w:cs="Bookman Old Style"/>
        </w:rPr>
        <w:instrText>â</w:instrText>
      </w:r>
      <w:r w:rsidR="00144139">
        <w:rPr>
          <w:rFonts w:ascii="Bookman Old Style" w:hAnsi="Bookman Old Style" w:cstheme="majorBidi"/>
        </w:rPr>
        <w:instrText>m</w:instrText>
      </w:r>
      <w:r w:rsidR="00144139">
        <w:rPr>
          <w:rFonts w:ascii="Cambria" w:hAnsi="Cambria" w:cs="Cambria"/>
        </w:rPr>
        <w:instrText>ȋ</w:instrText>
      </w:r>
      <w:r w:rsidR="00144139">
        <w:rPr>
          <w:rFonts w:ascii="Bookman Old Style" w:hAnsi="Bookman Old Style" w:cstheme="majorBidi"/>
        </w:rPr>
        <w:instrText>","type":"book"},"uris":["http://www.mendeley.com/documents/?uuid=33ac51e1-af00-4b55-bdda-ebdc46612c90"]}],"mendeley":{"formattedCitation":"(Muhammad Zaki Abd al-Bar, 1989)","plainTextFormattedCitation":"(Muhammad Zaki Abd al-Bar, 1989)","previouslyFormattedCitation":"(Muhammad Zaki Abd al-Bar, 1989)"},"properties":{"noteIndex":0},"schema":"https://github.com/citation-style-language/schema/raw/master/csl-citation.json"}</w:instrText>
      </w:r>
      <w:r w:rsidR="00144139">
        <w:rPr>
          <w:rFonts w:ascii="Bookman Old Style" w:hAnsi="Bookman Old Style" w:cstheme="majorBidi"/>
        </w:rPr>
        <w:fldChar w:fldCharType="separate"/>
      </w:r>
      <w:r w:rsidR="00144139" w:rsidRPr="00144139">
        <w:rPr>
          <w:rFonts w:ascii="Bookman Old Style" w:hAnsi="Bookman Old Style" w:cstheme="majorBidi"/>
          <w:noProof/>
        </w:rPr>
        <w:t>(Muhammad Zaki Abd al-Bar, 1989)</w:t>
      </w:r>
      <w:r w:rsidR="00144139">
        <w:rPr>
          <w:rFonts w:ascii="Bookman Old Style" w:hAnsi="Bookman Old Style" w:cstheme="majorBidi"/>
        </w:rPr>
        <w:fldChar w:fldCharType="end"/>
      </w:r>
      <w:r w:rsidR="00207DB8">
        <w:rPr>
          <w:rFonts w:ascii="Bookman Old Style" w:hAnsi="Bookman Old Style" w:cstheme="majorBidi"/>
        </w:rPr>
        <w:t xml:space="preserve"> Menurut Amran </w:t>
      </w:r>
      <w:r w:rsidR="00735D39">
        <w:rPr>
          <w:rFonts w:ascii="Bookman Old Style" w:hAnsi="Bookman Old Style" w:cstheme="majorBidi"/>
        </w:rPr>
        <w:t>Suadi</w:t>
      </w:r>
      <w:r w:rsidR="00207DB8">
        <w:rPr>
          <w:rFonts w:ascii="Bookman Old Style" w:hAnsi="Bookman Old Style" w:cstheme="majorBidi"/>
        </w:rPr>
        <w:t>,</w:t>
      </w:r>
      <w:r w:rsidR="00207DB8">
        <w:rPr>
          <w:rFonts w:ascii="Bookman Old Style" w:hAnsi="Bookman Old Style" w:cstheme="majorBidi"/>
          <w:i/>
          <w:iCs/>
        </w:rPr>
        <w:t xml:space="preserve"> ta’asuf </w:t>
      </w:r>
      <w:r w:rsidR="006E4A74">
        <w:rPr>
          <w:rFonts w:ascii="Bookman Old Style" w:hAnsi="Bookman Old Style" w:cstheme="majorBidi"/>
        </w:rPr>
        <w:t xml:space="preserve">sebagai perbuatan yang masih dalam batas kewenangan menggunakan hak milik individu. Artinya perbuatan tersebut apabila ditinjau secara </w:t>
      </w:r>
      <w:r w:rsidR="006E4A74" w:rsidRPr="009764D9">
        <w:rPr>
          <w:rFonts w:ascii="Bookman Old Style" w:hAnsi="Bookman Old Style" w:cstheme="majorBidi"/>
          <w:i/>
          <w:iCs/>
        </w:rPr>
        <w:t>syar’</w:t>
      </w:r>
      <w:r w:rsidR="009764D9">
        <w:rPr>
          <w:rFonts w:ascii="Bookman Old Style" w:hAnsi="Bookman Old Style" w:cstheme="majorBidi"/>
          <w:i/>
          <w:iCs/>
        </w:rPr>
        <w:t xml:space="preserve">i </w:t>
      </w:r>
      <w:r w:rsidR="006E4A74" w:rsidRPr="009764D9">
        <w:rPr>
          <w:rFonts w:ascii="Bookman Old Style" w:hAnsi="Bookman Old Style" w:cstheme="majorBidi"/>
        </w:rPr>
        <w:t>bukanlah</w:t>
      </w:r>
      <w:r w:rsidR="006E4A74">
        <w:rPr>
          <w:rFonts w:ascii="Bookman Old Style" w:hAnsi="Bookman Old Style" w:cstheme="majorBidi"/>
        </w:rPr>
        <w:t xml:space="preserve"> perbuatan yang sejak awal tidak diperbolehkan, namun sejak awal diizinkan dan dilindungi oleh hukum </w:t>
      </w:r>
      <w:r w:rsidR="006E4A74">
        <w:rPr>
          <w:rFonts w:ascii="Bookman Old Style" w:hAnsi="Bookman Old Style" w:cstheme="majorBidi"/>
          <w:i/>
          <w:iCs/>
        </w:rPr>
        <w:t>syara’</w:t>
      </w:r>
      <w:r w:rsidR="006E4A74">
        <w:rPr>
          <w:rFonts w:ascii="Bookman Old Style" w:hAnsi="Bookman Old Style" w:cstheme="majorBidi"/>
        </w:rPr>
        <w:t xml:space="preserve">. hanya saja penggunaan hak tersebut dalam perkembangannya memiliki akibat hukum negatif terhadap orang lain, </w:t>
      </w:r>
      <w:r w:rsidR="00735D39">
        <w:rPr>
          <w:rFonts w:ascii="Bookman Old Style" w:hAnsi="Bookman Old Style" w:cstheme="majorBidi"/>
        </w:rPr>
        <w:t>baik individu maupun masyarakat.</w:t>
      </w:r>
      <w:r w:rsidR="00144139">
        <w:rPr>
          <w:rFonts w:ascii="Bookman Old Style" w:hAnsi="Bookman Old Style" w:cstheme="majorBidi"/>
        </w:rPr>
        <w:fldChar w:fldCharType="begin" w:fldLock="1"/>
      </w:r>
      <w:r w:rsidR="00144139">
        <w:rPr>
          <w:rFonts w:ascii="Bookman Old Style" w:hAnsi="Bookman Old Style" w:cstheme="majorBidi"/>
        </w:rPr>
        <w:instrText>ADDIN CSL_CITATION {"citationItems":[{"id":"ITEM-1","itemData":{"author":[{"dropping-particle":"","family":"Amran Suadi","given":"","non-dropping-particle":"","parse-names":false,"suffix":""}],"id":"ITEM-1","issued":{"date-parts":[["2020"]]},"number-of-pages":"113","publisher":"PT RajaGrafindo Persada","publisher-place":"Jakarta","title":"Wanprestasi Dan Perbuatan Melawan Hukum: Dalam Penyelesaian Sengketa Ekonomi Syariah","type":"book"},"uris":["http://www.mendeley.com/documents/?uuid=8e34e13a-19a6-450f-bd7b-70d72f8cbdc6"]}],"mendeley":{"formattedCitation":"(Amran Suadi, 2020)","plainTextFormattedCitation":"(Amran Suadi, 2020)","previouslyFormattedCitation":"(Amran Suadi, 2020)"},"properties":{"noteIndex":0},"schema":"https://github.com/citation-style-language/schema/raw/master/csl-citation.json"}</w:instrText>
      </w:r>
      <w:r w:rsidR="00144139">
        <w:rPr>
          <w:rFonts w:ascii="Bookman Old Style" w:hAnsi="Bookman Old Style" w:cstheme="majorBidi"/>
        </w:rPr>
        <w:fldChar w:fldCharType="separate"/>
      </w:r>
      <w:r w:rsidR="00144139" w:rsidRPr="00144139">
        <w:rPr>
          <w:rFonts w:ascii="Bookman Old Style" w:hAnsi="Bookman Old Style" w:cstheme="majorBidi"/>
          <w:noProof/>
        </w:rPr>
        <w:t>(Amran Suadi, 2020)</w:t>
      </w:r>
      <w:r w:rsidR="00144139">
        <w:rPr>
          <w:rFonts w:ascii="Bookman Old Style" w:hAnsi="Bookman Old Style" w:cstheme="majorBidi"/>
        </w:rPr>
        <w:fldChar w:fldCharType="end"/>
      </w:r>
    </w:p>
    <w:p w14:paraId="0962BB29" w14:textId="05573448" w:rsidR="00735D39" w:rsidRPr="009B7912" w:rsidRDefault="009B7912" w:rsidP="00B018CC">
      <w:pPr>
        <w:pStyle w:val="ListParagraph"/>
        <w:spacing w:after="0" w:line="240" w:lineRule="auto"/>
        <w:ind w:left="0" w:firstLine="720"/>
        <w:jc w:val="both"/>
        <w:rPr>
          <w:rFonts w:ascii="Bookman Old Style" w:hAnsi="Bookman Old Style" w:cstheme="majorBidi"/>
        </w:rPr>
      </w:pPr>
      <w:r>
        <w:rPr>
          <w:rFonts w:ascii="Bookman Old Style" w:hAnsi="Bookman Old Style" w:cstheme="majorBidi"/>
        </w:rPr>
        <w:t xml:space="preserve">Wahbah al-Zuhaili menginformasikan bahwa </w:t>
      </w:r>
      <w:r>
        <w:rPr>
          <w:rFonts w:ascii="Bookman Old Style" w:hAnsi="Bookman Old Style" w:cstheme="majorBidi"/>
          <w:i/>
          <w:iCs/>
        </w:rPr>
        <w:t>ta’asuf f</w:t>
      </w:r>
      <w:r>
        <w:rPr>
          <w:rFonts w:ascii="Times New Roman" w:hAnsi="Times New Roman" w:cs="Times New Roman"/>
          <w:i/>
          <w:iCs/>
        </w:rPr>
        <w:t>ȋ</w:t>
      </w:r>
      <w:r>
        <w:rPr>
          <w:rFonts w:ascii="Bookman Old Style" w:hAnsi="Bookman Old Style" w:cstheme="majorBidi"/>
          <w:i/>
          <w:iCs/>
        </w:rPr>
        <w:t xml:space="preserve"> isti’mâl al-</w:t>
      </w:r>
      <w:r>
        <w:rPr>
          <w:rFonts w:ascii="Bookman Old Style" w:hAnsi="Bookman Old Style" w:cstheme="majorBidi"/>
          <w:i/>
          <w:iCs/>
          <w:u w:val="single"/>
        </w:rPr>
        <w:t>h</w:t>
      </w:r>
      <w:r>
        <w:rPr>
          <w:rFonts w:ascii="Bookman Old Style" w:hAnsi="Bookman Old Style" w:cstheme="majorBidi"/>
          <w:i/>
          <w:iCs/>
        </w:rPr>
        <w:t>aq</w:t>
      </w:r>
      <w:r>
        <w:rPr>
          <w:rFonts w:ascii="Bookman Old Style" w:hAnsi="Bookman Old Style" w:cstheme="majorBidi"/>
        </w:rPr>
        <w:t xml:space="preserve"> sebagai perbuatan melawan hukum (</w:t>
      </w:r>
      <w:r>
        <w:rPr>
          <w:rFonts w:ascii="Bookman Old Style" w:hAnsi="Bookman Old Style" w:cstheme="majorBidi"/>
          <w:i/>
          <w:iCs/>
        </w:rPr>
        <w:t>fi’l al-dhar</w:t>
      </w:r>
      <w:r>
        <w:rPr>
          <w:rFonts w:ascii="Bookman Old Style" w:hAnsi="Bookman Old Style" w:cstheme="majorBidi"/>
        </w:rPr>
        <w:t>) yang melahirkan pertanggungjawaban hukum (</w:t>
      </w:r>
      <w:r>
        <w:rPr>
          <w:rFonts w:ascii="Bookman Old Style" w:hAnsi="Bookman Old Style" w:cstheme="majorBidi"/>
          <w:i/>
          <w:iCs/>
        </w:rPr>
        <w:t>dhamân</w:t>
      </w:r>
      <w:r>
        <w:rPr>
          <w:rFonts w:ascii="Bookman Old Style" w:hAnsi="Bookman Old Style" w:cstheme="majorBidi"/>
        </w:rPr>
        <w:t xml:space="preserve">). Dengan demikian, maka </w:t>
      </w:r>
      <w:r>
        <w:rPr>
          <w:rFonts w:ascii="Bookman Old Style" w:hAnsi="Bookman Old Style" w:cstheme="majorBidi"/>
          <w:i/>
          <w:iCs/>
        </w:rPr>
        <w:t xml:space="preserve">ta’asuf </w:t>
      </w:r>
      <w:r>
        <w:rPr>
          <w:rFonts w:ascii="Bookman Old Style" w:hAnsi="Bookman Old Style" w:cstheme="majorBidi"/>
        </w:rPr>
        <w:t>dapat dipahami sebagai sebuah kecerobohan (</w:t>
      </w:r>
      <w:r>
        <w:rPr>
          <w:rFonts w:ascii="Bookman Old Style" w:hAnsi="Bookman Old Style" w:cstheme="majorBidi"/>
          <w:i/>
          <w:iCs/>
        </w:rPr>
        <w:t>ihmâl</w:t>
      </w:r>
      <w:r>
        <w:rPr>
          <w:rFonts w:ascii="Bookman Old Style" w:hAnsi="Bookman Old Style" w:cstheme="majorBidi"/>
        </w:rPr>
        <w:t>) atai ketidak hati-hatian (</w:t>
      </w:r>
      <w:r>
        <w:rPr>
          <w:rFonts w:ascii="Bookman Old Style" w:hAnsi="Bookman Old Style" w:cstheme="majorBidi"/>
          <w:i/>
          <w:iCs/>
        </w:rPr>
        <w:t>‘adam al-i</w:t>
      </w:r>
      <w:r>
        <w:rPr>
          <w:rFonts w:ascii="Bookman Old Style" w:hAnsi="Bookman Old Style" w:cstheme="majorBidi"/>
          <w:i/>
          <w:iCs/>
          <w:u w:val="single"/>
        </w:rPr>
        <w:t>h</w:t>
      </w:r>
      <w:r>
        <w:rPr>
          <w:rFonts w:ascii="Bookman Old Style" w:hAnsi="Bookman Old Style" w:cstheme="majorBidi"/>
          <w:i/>
          <w:iCs/>
        </w:rPr>
        <w:t>tiyâth</w:t>
      </w:r>
      <w:r>
        <w:rPr>
          <w:rFonts w:ascii="Bookman Old Style" w:hAnsi="Bookman Old Style" w:cstheme="majorBidi"/>
        </w:rPr>
        <w:t>) yang dilakukan oleh seserang sehingga berimplikasi kerugian terhadap orang lain.</w:t>
      </w:r>
      <w:r w:rsidR="00144139">
        <w:rPr>
          <w:rFonts w:ascii="Bookman Old Style" w:hAnsi="Bookman Old Style" w:cstheme="majorBidi"/>
        </w:rPr>
        <w:fldChar w:fldCharType="begin" w:fldLock="1"/>
      </w:r>
      <w:r w:rsidR="00144139">
        <w:rPr>
          <w:rFonts w:ascii="Bookman Old Style" w:hAnsi="Bookman Old Style" w:cstheme="majorBidi"/>
        </w:rPr>
        <w:instrText>ADDIN CSL_CITATION {"citationItems":[{"id":"ITEM-1","itemData":{"author":[{"dropping-particle":"","family":"Wahbah al-Zuhaili","given":"","non-dropping-particle":"","parse-names":false,"suffix":""}],"id":"ITEM-1","issued":{"date-parts":[["1997"]]},"number-of-pages":"4825","publisher":"Dâr al-Fikr","publisher-place":"Beirut","title":"al-Fiqh al-Islâm</w:instrText>
      </w:r>
      <w:r w:rsidR="00144139">
        <w:rPr>
          <w:rFonts w:ascii="Cambria" w:hAnsi="Cambria" w:cs="Cambria"/>
        </w:rPr>
        <w:instrText>ȋ</w:instrText>
      </w:r>
      <w:r w:rsidR="00144139">
        <w:rPr>
          <w:rFonts w:ascii="Bookman Old Style" w:hAnsi="Bookman Old Style" w:cstheme="majorBidi"/>
        </w:rPr>
        <w:instrText xml:space="preserve"> wa Adillatuh","type":"book"},"uris":["http://www.mendeley.com/documents/?uuid=3803c640-0fdd-4073-8ddb-e0fb4b315ab2"]}],"mendeley":{"formattedCitation":"(Wahbah al-Zuhaili, 1997)","plainTextFormattedCitation":"(Wahbah al-Zuhaili, 1997)","previouslyFormattedCitation":"(Wahbah al-Zuhaili, 1997)"},"properties":{"noteIndex":0},"schema":"https://github.com/citation-style-language/schema/raw/master/csl-citation.json"}</w:instrText>
      </w:r>
      <w:r w:rsidR="00144139">
        <w:rPr>
          <w:rFonts w:ascii="Bookman Old Style" w:hAnsi="Bookman Old Style" w:cstheme="majorBidi"/>
        </w:rPr>
        <w:fldChar w:fldCharType="separate"/>
      </w:r>
      <w:r w:rsidR="00144139" w:rsidRPr="00144139">
        <w:rPr>
          <w:rFonts w:ascii="Bookman Old Style" w:hAnsi="Bookman Old Style" w:cstheme="majorBidi"/>
          <w:noProof/>
        </w:rPr>
        <w:t>(Wahbah al-Zuhaili, 1997)</w:t>
      </w:r>
      <w:r w:rsidR="00144139">
        <w:rPr>
          <w:rFonts w:ascii="Bookman Old Style" w:hAnsi="Bookman Old Style" w:cstheme="majorBidi"/>
        </w:rPr>
        <w:fldChar w:fldCharType="end"/>
      </w:r>
    </w:p>
    <w:p w14:paraId="384D3DAB" w14:textId="05B33418" w:rsidR="00B61880" w:rsidRPr="00A97D5B" w:rsidRDefault="00C0072A" w:rsidP="00A97D5B">
      <w:pPr>
        <w:pStyle w:val="ListParagraph"/>
        <w:spacing w:after="0" w:line="240" w:lineRule="auto"/>
        <w:ind w:left="0" w:firstLine="720"/>
        <w:jc w:val="both"/>
        <w:rPr>
          <w:rFonts w:ascii="Bookman Old Style" w:hAnsi="Bookman Old Style" w:cstheme="majorBidi"/>
        </w:rPr>
      </w:pPr>
      <w:r>
        <w:rPr>
          <w:rFonts w:ascii="Bookman Old Style" w:hAnsi="Bookman Old Style" w:cstheme="majorBidi"/>
        </w:rPr>
        <w:t xml:space="preserve">Wahbah al-Zuhaili memberikan kaidah-kaidah yang berkaitan dengan </w:t>
      </w:r>
      <w:r>
        <w:rPr>
          <w:rFonts w:ascii="Bookman Old Style" w:hAnsi="Bookman Old Style" w:cstheme="majorBidi"/>
          <w:i/>
          <w:iCs/>
        </w:rPr>
        <w:t>ta’asuf</w:t>
      </w:r>
      <w:r>
        <w:rPr>
          <w:rFonts w:ascii="Bookman Old Style" w:hAnsi="Bookman Old Style" w:cstheme="majorBidi"/>
        </w:rPr>
        <w:t xml:space="preserve">, yaitu: (1) ada maksud dan tujuan untuk meberi kemudaratan; (2) </w:t>
      </w:r>
      <w:r w:rsidR="006D4DA4">
        <w:rPr>
          <w:rFonts w:ascii="Bookman Old Style" w:hAnsi="Bookman Old Style" w:cstheme="majorBidi"/>
        </w:rPr>
        <w:t>ada maksud yang tidak legal; (3) timbulnya kemudaratan yang lebih besar dari maslahatan; (4) penggunaan yang tidak biasa dan menimbulkan kemudaratan bagi orang lain; dan (5) menggunakan hak disertai kelalaian atau kesalahan.</w:t>
      </w:r>
      <w:r w:rsidR="00144139">
        <w:rPr>
          <w:rFonts w:ascii="Bookman Old Style" w:hAnsi="Bookman Old Style" w:cstheme="majorBidi"/>
        </w:rPr>
        <w:fldChar w:fldCharType="begin" w:fldLock="1"/>
      </w:r>
      <w:r w:rsidR="007F668F">
        <w:rPr>
          <w:rFonts w:ascii="Bookman Old Style" w:hAnsi="Bookman Old Style" w:cstheme="majorBidi"/>
        </w:rPr>
        <w:instrText>ADDIN CSL_CITATION {"citationItems":[{"id":"ITEM-1","itemData":{"author":[{"dropping-particle":"","family":"Wahbah al-Zuhaili","given":"","non-dropping-particle":"","parse-names":false,"suffix":""}],"id":"ITEM-1","issued":{"date-parts":[["1997"]]},"number-of-pages":"4825","publisher":"Dâr al-Fikr","publisher-place":"Beirut","title":"al-Fiqh al-Islâm</w:instrText>
      </w:r>
      <w:r w:rsidR="007F668F">
        <w:rPr>
          <w:rFonts w:ascii="Cambria" w:hAnsi="Cambria" w:cs="Cambria"/>
        </w:rPr>
        <w:instrText>ȋ</w:instrText>
      </w:r>
      <w:r w:rsidR="007F668F">
        <w:rPr>
          <w:rFonts w:ascii="Bookman Old Style" w:hAnsi="Bookman Old Style" w:cstheme="majorBidi"/>
        </w:rPr>
        <w:instrText xml:space="preserve"> wa Adillatuh","type":"book"},"uris":["http://www.mendeley.com/documents/?uuid=3803c640-0fdd-4073-8ddb-e0fb4b315ab2"]}],"mendeley":{"formattedCitation":"(Wahbah al-Zuhaili, 1997)","plainTextFormattedCitation":"(Wahbah al-Zuhaili, 1997)","previouslyFormattedCitation":"(Wahbah al-Zuhaili, 1997)"},"properties":{"noteIndex":0},"schema":"https://github.com/citation-style-language/schema/raw/master/csl-citation.json"}</w:instrText>
      </w:r>
      <w:r w:rsidR="00144139">
        <w:rPr>
          <w:rFonts w:ascii="Bookman Old Style" w:hAnsi="Bookman Old Style" w:cstheme="majorBidi"/>
        </w:rPr>
        <w:fldChar w:fldCharType="separate"/>
      </w:r>
      <w:r w:rsidR="00144139" w:rsidRPr="00144139">
        <w:rPr>
          <w:rFonts w:ascii="Bookman Old Style" w:hAnsi="Bookman Old Style" w:cstheme="majorBidi"/>
          <w:noProof/>
        </w:rPr>
        <w:t>(Wahbah al-Zuhaili, 1997)</w:t>
      </w:r>
      <w:r w:rsidR="00144139">
        <w:rPr>
          <w:rFonts w:ascii="Bookman Old Style" w:hAnsi="Bookman Old Style" w:cstheme="majorBidi"/>
        </w:rPr>
        <w:fldChar w:fldCharType="end"/>
      </w:r>
    </w:p>
    <w:p w14:paraId="10E6453A" w14:textId="7DD6A561" w:rsidR="008100A2" w:rsidRDefault="008100A2" w:rsidP="008100A2">
      <w:pPr>
        <w:pStyle w:val="ListParagraph"/>
        <w:numPr>
          <w:ilvl w:val="0"/>
          <w:numId w:val="7"/>
        </w:numPr>
        <w:spacing w:after="0" w:line="240" w:lineRule="auto"/>
        <w:jc w:val="both"/>
        <w:rPr>
          <w:rFonts w:ascii="Bookman Old Style" w:hAnsi="Bookman Old Style" w:cstheme="majorBidi"/>
          <w:b/>
          <w:bCs/>
        </w:rPr>
      </w:pPr>
      <w:r>
        <w:rPr>
          <w:rFonts w:ascii="Bookman Old Style" w:hAnsi="Bookman Old Style" w:cstheme="majorBidi"/>
          <w:b/>
          <w:bCs/>
        </w:rPr>
        <w:t>Wadh’ al-Yad</w:t>
      </w:r>
    </w:p>
    <w:p w14:paraId="2E937B0B" w14:textId="72C56F7F" w:rsidR="008100A2" w:rsidRDefault="00C04922" w:rsidP="004A6E27">
      <w:pPr>
        <w:pStyle w:val="ListParagraph"/>
        <w:spacing w:after="0" w:line="240" w:lineRule="auto"/>
        <w:ind w:left="0" w:firstLine="720"/>
        <w:jc w:val="both"/>
        <w:rPr>
          <w:rFonts w:ascii="Bookman Old Style" w:hAnsi="Bookman Old Style" w:cstheme="majorBidi"/>
        </w:rPr>
      </w:pPr>
      <w:r>
        <w:rPr>
          <w:rFonts w:ascii="Bookman Old Style" w:hAnsi="Bookman Old Style" w:cstheme="majorBidi"/>
        </w:rPr>
        <w:t>Menurut Wahbah al-Zuhaili</w:t>
      </w:r>
      <w:r w:rsidR="005C4BC1">
        <w:rPr>
          <w:rFonts w:ascii="Bookman Old Style" w:hAnsi="Bookman Old Style" w:cstheme="majorBidi"/>
        </w:rPr>
        <w:t xml:space="preserve">, </w:t>
      </w:r>
      <w:r w:rsidR="005C4BC1">
        <w:rPr>
          <w:rFonts w:ascii="Bookman Old Style" w:hAnsi="Bookman Old Style" w:cstheme="majorBidi"/>
          <w:i/>
          <w:iCs/>
        </w:rPr>
        <w:t>wadh’ al-yad</w:t>
      </w:r>
      <w:r w:rsidR="005C4BC1">
        <w:rPr>
          <w:rFonts w:ascii="Bookman Old Style" w:hAnsi="Bookman Old Style" w:cstheme="majorBidi"/>
        </w:rPr>
        <w:t xml:space="preserve"> merupakan penguasaan (</w:t>
      </w:r>
      <w:r w:rsidR="005C4BC1">
        <w:rPr>
          <w:rFonts w:ascii="Bookman Old Style" w:hAnsi="Bookman Old Style" w:cstheme="majorBidi"/>
          <w:i/>
          <w:iCs/>
          <w:u w:val="single"/>
        </w:rPr>
        <w:t>h</w:t>
      </w:r>
      <w:r w:rsidR="005C4BC1">
        <w:rPr>
          <w:rFonts w:ascii="Bookman Old Style" w:hAnsi="Bookman Old Style" w:cstheme="majorBidi"/>
          <w:i/>
          <w:iCs/>
        </w:rPr>
        <w:t>iyâzah</w:t>
      </w:r>
      <w:r w:rsidR="005C4BC1">
        <w:rPr>
          <w:rFonts w:ascii="Bookman Old Style" w:hAnsi="Bookman Old Style" w:cstheme="majorBidi"/>
        </w:rPr>
        <w:t xml:space="preserve">) atas suatu benda dimana seseorang berbuat layaknya si pemilik </w:t>
      </w:r>
      <w:r w:rsidR="005C4BC1">
        <w:rPr>
          <w:rFonts w:ascii="Bookman Old Style" w:hAnsi="Bookman Old Style" w:cstheme="majorBidi"/>
        </w:rPr>
        <w:lastRenderedPageBreak/>
        <w:t>barang tersebut atau ia mengambil manfaat dari benda tersebut.</w:t>
      </w:r>
      <w:r w:rsidR="007F668F">
        <w:rPr>
          <w:rFonts w:ascii="Bookman Old Style" w:hAnsi="Bookman Old Style" w:cstheme="majorBidi"/>
        </w:rPr>
        <w:fldChar w:fldCharType="begin" w:fldLock="1"/>
      </w:r>
      <w:r w:rsidR="00153A2C">
        <w:rPr>
          <w:rFonts w:ascii="Bookman Old Style" w:hAnsi="Bookman Old Style" w:cstheme="majorBidi"/>
        </w:rPr>
        <w:instrText>ADDIN CSL_CITATION {"citationItems":[{"id":"ITEM-1","itemData":{"author":[{"dropping-particle":"","family":"Wahbah al-Zuhaili","given":"","non-dropping-particle":"","parse-names":false,"suffix":""}],"id":"ITEM-1","issued":{"date-parts":[["1997"]]},"number-of-pages":"4825","publisher":"Dâr al-Fikr","publisher-place":"Beirut","title":"al-Fiqh al-Islâm</w:instrText>
      </w:r>
      <w:r w:rsidR="00153A2C">
        <w:rPr>
          <w:rFonts w:ascii="Cambria" w:hAnsi="Cambria" w:cs="Cambria"/>
        </w:rPr>
        <w:instrText>ȋ</w:instrText>
      </w:r>
      <w:r w:rsidR="00153A2C">
        <w:rPr>
          <w:rFonts w:ascii="Bookman Old Style" w:hAnsi="Bookman Old Style" w:cstheme="majorBidi"/>
        </w:rPr>
        <w:instrText xml:space="preserve"> wa Adillatuh","type":"book"},"uris":["http://www.mendeley.com/documents/?uuid=3803c640-0fdd-4073-8ddb-e0fb4b315ab2"]}],"mendeley":{"formattedCitation":"(Wahbah al-Zuhaili, 1997)","plainTextFormattedCitation":"(Wahbah al-Zuhaili, 1997)","previouslyFormattedCitation":"(Wahbah al-Zuhaili, 1997)"},"properties":{"noteIndex":0},"schema":"https://github.com/citation-style-language/schema/raw/master/csl-citation.json"}</w:instrText>
      </w:r>
      <w:r w:rsidR="007F668F">
        <w:rPr>
          <w:rFonts w:ascii="Bookman Old Style" w:hAnsi="Bookman Old Style" w:cstheme="majorBidi"/>
        </w:rPr>
        <w:fldChar w:fldCharType="separate"/>
      </w:r>
      <w:r w:rsidR="007F668F" w:rsidRPr="007F668F">
        <w:rPr>
          <w:rFonts w:ascii="Bookman Old Style" w:hAnsi="Bookman Old Style" w:cstheme="majorBidi"/>
          <w:noProof/>
        </w:rPr>
        <w:t>(Wahbah al-Zuhaili, 1997)</w:t>
      </w:r>
      <w:r w:rsidR="007F668F">
        <w:rPr>
          <w:rFonts w:ascii="Bookman Old Style" w:hAnsi="Bookman Old Style" w:cstheme="majorBidi"/>
        </w:rPr>
        <w:fldChar w:fldCharType="end"/>
      </w:r>
      <w:r w:rsidR="007F668F">
        <w:rPr>
          <w:rFonts w:ascii="Bookman Old Style" w:hAnsi="Bookman Old Style" w:cstheme="majorBidi"/>
        </w:rPr>
        <w:t xml:space="preserve"> </w:t>
      </w:r>
      <w:r w:rsidR="005C4BC1">
        <w:rPr>
          <w:rFonts w:ascii="Bookman Old Style" w:hAnsi="Bookman Old Style" w:cstheme="majorBidi"/>
        </w:rPr>
        <w:t xml:space="preserve">Konsep mengenai </w:t>
      </w:r>
      <w:r w:rsidR="005C4BC1">
        <w:rPr>
          <w:rFonts w:ascii="Bookman Old Style" w:hAnsi="Bookman Old Style" w:cstheme="majorBidi"/>
          <w:i/>
          <w:iCs/>
        </w:rPr>
        <w:t xml:space="preserve">wadh’ al-yad </w:t>
      </w:r>
      <w:r w:rsidR="005C4BC1">
        <w:rPr>
          <w:rFonts w:ascii="Bookman Old Style" w:hAnsi="Bookman Old Style" w:cstheme="majorBidi"/>
        </w:rPr>
        <w:t xml:space="preserve">kiranya dapat dipersamakan dengan istilah </w:t>
      </w:r>
      <w:r w:rsidR="005C4BC1">
        <w:rPr>
          <w:rFonts w:ascii="Bookman Old Style" w:hAnsi="Bookman Old Style" w:cstheme="majorBidi"/>
          <w:i/>
          <w:iCs/>
        </w:rPr>
        <w:t xml:space="preserve">bezit </w:t>
      </w:r>
      <w:r w:rsidR="005C4BC1">
        <w:rPr>
          <w:rFonts w:ascii="Bookman Old Style" w:hAnsi="Bookman Old Style" w:cstheme="majorBidi"/>
        </w:rPr>
        <w:t xml:space="preserve">dalam kajian hukum perdata konvensional. Subekti mengartikan </w:t>
      </w:r>
      <w:r w:rsidR="005C4BC1">
        <w:rPr>
          <w:rFonts w:ascii="Bookman Old Style" w:hAnsi="Bookman Old Style" w:cstheme="majorBidi"/>
          <w:i/>
          <w:iCs/>
        </w:rPr>
        <w:t xml:space="preserve">bezit </w:t>
      </w:r>
      <w:r w:rsidR="005C4BC1">
        <w:rPr>
          <w:rFonts w:ascii="Bookman Old Style" w:hAnsi="Bookman Old Style" w:cstheme="majorBidi"/>
        </w:rPr>
        <w:t>sebagai suatu keadaan lahir dimana seseorang menguasi suatu benda seolah-ola</w:t>
      </w:r>
      <w:r w:rsidR="00153A2C">
        <w:rPr>
          <w:rFonts w:ascii="Bookman Old Style" w:hAnsi="Bookman Old Style" w:cstheme="majorBidi"/>
        </w:rPr>
        <w:t>h</w:t>
      </w:r>
      <w:r w:rsidR="005C4BC1">
        <w:rPr>
          <w:rFonts w:ascii="Bookman Old Style" w:hAnsi="Bookman Old Style" w:cstheme="majorBidi"/>
        </w:rPr>
        <w:t xml:space="preserve"> kepunyaannya sediri yang oleh hukum dilindungi, dengan tidak mempersoalkan hak milik atas benda sebenarnya ada pada siapa</w:t>
      </w:r>
      <w:r w:rsidR="00153A2C">
        <w:rPr>
          <w:rFonts w:ascii="Bookman Old Style" w:hAnsi="Bookman Old Style" w:cstheme="majorBidi"/>
        </w:rPr>
        <w:fldChar w:fldCharType="begin" w:fldLock="1"/>
      </w:r>
      <w:r w:rsidR="00153A2C">
        <w:rPr>
          <w:rFonts w:ascii="Bookman Old Style" w:hAnsi="Bookman Old Style" w:cstheme="majorBidi"/>
        </w:rPr>
        <w:instrText>ADDIN CSL_CITATION {"citationItems":[{"id":"ITEM-1","itemData":{"author":[{"dropping-particle":"","family":"R. Subekti","given":"","non-dropping-particle":"","parse-names":false,"suffix":""}],"id":"ITEM-1","issued":{"date-parts":[["1982"]]},"number-of-pages":"63","publisher":"Intermasa","publisher-place":"Jakarta","title":"Pokok-Pokok Hukum Perdata","type":"book"},"uris":["http://www.mendeley.com/documents/?uuid=1f05b78a-8097-4824-b93b-898f63ab98db"]}],"mendeley":{"formattedCitation":"(R. Subekti, 1982)","plainTextFormattedCitation":"(R. Subekti, 1982)","previouslyFormattedCitation":"(R. Subekti, 1982)"},"properties":{"noteIndex":0},"schema":"https://github.com/citation-style-language/schema/raw/master/csl-citation.json"}</w:instrText>
      </w:r>
      <w:r w:rsidR="00153A2C">
        <w:rPr>
          <w:rFonts w:ascii="Bookman Old Style" w:hAnsi="Bookman Old Style" w:cstheme="majorBidi"/>
        </w:rPr>
        <w:fldChar w:fldCharType="separate"/>
      </w:r>
      <w:r w:rsidR="00153A2C" w:rsidRPr="00153A2C">
        <w:rPr>
          <w:rFonts w:ascii="Bookman Old Style" w:hAnsi="Bookman Old Style" w:cstheme="majorBidi"/>
          <w:noProof/>
        </w:rPr>
        <w:t>(R. Subekti, 1982)</w:t>
      </w:r>
      <w:r w:rsidR="00153A2C">
        <w:rPr>
          <w:rFonts w:ascii="Bookman Old Style" w:hAnsi="Bookman Old Style" w:cstheme="majorBidi"/>
        </w:rPr>
        <w:fldChar w:fldCharType="end"/>
      </w:r>
      <w:r w:rsidR="005C4BC1">
        <w:rPr>
          <w:rFonts w:ascii="Bookman Old Style" w:hAnsi="Bookman Old Style" w:cstheme="majorBidi"/>
        </w:rPr>
        <w:t>.</w:t>
      </w:r>
    </w:p>
    <w:p w14:paraId="44D1A42D" w14:textId="3EFCEB87" w:rsidR="005C4BC1" w:rsidRDefault="005C4BC1" w:rsidP="004A6E27">
      <w:pPr>
        <w:pStyle w:val="ListParagraph"/>
        <w:spacing w:after="0" w:line="240" w:lineRule="auto"/>
        <w:ind w:left="0" w:firstLine="720"/>
        <w:jc w:val="both"/>
        <w:rPr>
          <w:rFonts w:ascii="Bookman Old Style" w:hAnsi="Bookman Old Style" w:cstheme="majorBidi"/>
        </w:rPr>
      </w:pPr>
      <w:r>
        <w:rPr>
          <w:rFonts w:ascii="Bookman Old Style" w:hAnsi="Bookman Old Style" w:cstheme="majorBidi"/>
        </w:rPr>
        <w:t xml:space="preserve">Dalam kitab </w:t>
      </w:r>
      <w:r>
        <w:rPr>
          <w:rFonts w:ascii="Bookman Old Style" w:hAnsi="Bookman Old Style" w:cstheme="majorBidi"/>
          <w:i/>
          <w:iCs/>
        </w:rPr>
        <w:t>al-Maus</w:t>
      </w:r>
      <w:r>
        <w:rPr>
          <w:rFonts w:ascii="Times New Roman" w:hAnsi="Times New Roman" w:cs="Times New Roman"/>
          <w:i/>
          <w:iCs/>
        </w:rPr>
        <w:t>ȗ</w:t>
      </w:r>
      <w:r>
        <w:rPr>
          <w:rFonts w:ascii="Bookman Old Style" w:hAnsi="Bookman Old Style" w:cstheme="majorBidi"/>
          <w:i/>
          <w:iCs/>
        </w:rPr>
        <w:t xml:space="preserve">’ah al-Fiqhiyyah al-Kuwaitiyyah </w:t>
      </w:r>
      <w:r>
        <w:rPr>
          <w:rFonts w:ascii="Bookman Old Style" w:hAnsi="Bookman Old Style" w:cstheme="majorBidi"/>
        </w:rPr>
        <w:t>yang disusun oleh Kementerian Wakaf dan Persoalan Agama kuwait dnyatakan sebagai berikut:</w:t>
      </w:r>
    </w:p>
    <w:p w14:paraId="07E45FF4" w14:textId="36971034" w:rsidR="005C4BC1" w:rsidRPr="005C4BC1" w:rsidRDefault="005C4BC1" w:rsidP="005C4BC1">
      <w:pPr>
        <w:pStyle w:val="ListParagraph"/>
        <w:spacing w:after="0" w:line="240" w:lineRule="auto"/>
        <w:ind w:left="0" w:firstLine="720"/>
        <w:jc w:val="right"/>
        <w:rPr>
          <w:rFonts w:ascii="Bookman Old Style" w:hAnsi="Bookman Old Style" w:cstheme="majorBidi"/>
          <w:sz w:val="16"/>
          <w:szCs w:val="16"/>
        </w:rPr>
      </w:pPr>
      <w:r w:rsidRPr="005C4BC1">
        <w:rPr>
          <w:rFonts w:ascii="Traditional Arabic" w:hAnsi="Traditional Arabic" w:cs="Traditional Arabic"/>
          <w:sz w:val="32"/>
          <w:szCs w:val="32"/>
          <w:rtl/>
          <w:lang w:val="en-ID"/>
        </w:rPr>
        <w:t>لاَ خِلاَفَ بَيْنَ الْفُقَهَاءِ فِي أَنَّ وَضْعَ الْيَدِ عَلَى الشَّيْءِ الْمُتَنَازَعِ عَلَيْهِ مِنْ أَسْبَابِ الرُّجْحَانِ فِي دَعْوَى الْمِلْكِيَّةِ إِذَا لَمْ تُوجَدْ حُجَّةٌ أَقْوَى مِنْهَا كَالْبَيِّنَةِ</w:t>
      </w:r>
    </w:p>
    <w:p w14:paraId="38F3F973" w14:textId="5A35BDDD" w:rsidR="005C4BC1" w:rsidRDefault="005C4BC1" w:rsidP="005C4BC1">
      <w:pPr>
        <w:pStyle w:val="ListParagraph"/>
        <w:spacing w:after="0" w:line="240" w:lineRule="auto"/>
        <w:jc w:val="both"/>
        <w:rPr>
          <w:rFonts w:ascii="Bookman Old Style" w:hAnsi="Bookman Old Style" w:cstheme="majorBidi"/>
        </w:rPr>
      </w:pPr>
      <w:r>
        <w:rPr>
          <w:rFonts w:ascii="Bookman Old Style" w:hAnsi="Bookman Old Style" w:cstheme="majorBidi"/>
        </w:rPr>
        <w:t>“</w:t>
      </w:r>
      <w:r w:rsidRPr="005C4BC1">
        <w:rPr>
          <w:rFonts w:ascii="Bookman Old Style" w:hAnsi="Bookman Old Style" w:cstheme="majorBidi"/>
          <w:i/>
          <w:iCs/>
        </w:rPr>
        <w:t>Tidak ada perbedaan pendapat di kalangan para sarjana hukum Islam (fukaha) bahwa wadh’ al-yad merupakan bukti yang kuat atas kepemilikan suatu benda terutama benda yang dipersengketa apabila tidak ditemukannya alat bukti bahwa benda tersebut adalah milik orang lain</w:t>
      </w:r>
      <w:r>
        <w:rPr>
          <w:rFonts w:ascii="Bookman Old Style" w:hAnsi="Bookman Old Style" w:cstheme="majorBidi"/>
        </w:rPr>
        <w:t>”</w:t>
      </w:r>
      <w:r w:rsidR="00153A2C">
        <w:rPr>
          <w:rFonts w:ascii="Bookman Old Style" w:hAnsi="Bookman Old Style" w:cstheme="majorBidi"/>
        </w:rPr>
        <w:fldChar w:fldCharType="begin" w:fldLock="1"/>
      </w:r>
      <w:r w:rsidR="00153A2C">
        <w:rPr>
          <w:rFonts w:ascii="Bookman Old Style" w:hAnsi="Bookman Old Style" w:cstheme="majorBidi"/>
        </w:rPr>
        <w:instrText>ADDIN CSL_CITATION {"citationItems":[{"id":"ITEM-1","itemData":{"author":[{"dropping-particle":"","family":"Anonimous","given":"","non-dropping-particle":"","parse-names":false,"suffix":""}],"id":"ITEM-1","issued":{"date-parts":[["0"]]},"number-of-pages":"39","publisher":"Dâr al-Salasil Kuwait","publisher-place":"Kuwait","title":"al-Maus</w:instrText>
      </w:r>
      <w:r w:rsidR="00153A2C">
        <w:rPr>
          <w:rFonts w:ascii="Cambria" w:hAnsi="Cambria" w:cs="Cambria"/>
        </w:rPr>
        <w:instrText>ȗ</w:instrText>
      </w:r>
      <w:r w:rsidR="00153A2C">
        <w:rPr>
          <w:rFonts w:ascii="Bookman Old Style" w:hAnsi="Bookman Old Style" w:cs="Bookman Old Style"/>
        </w:rPr>
        <w:instrText>’</w:instrText>
      </w:r>
      <w:r w:rsidR="00153A2C">
        <w:rPr>
          <w:rFonts w:ascii="Bookman Old Style" w:hAnsi="Bookman Old Style" w:cstheme="majorBidi"/>
        </w:rPr>
        <w:instrText>ah al-Fiqhiyyah al-Kuwaitiyyah","type":"book"},"uris":["http://www.mendeley.com/documents/?uuid=50e88544-6493-43ba-8c1f-d1d271f6a21b"]}],"mendeley":{"formattedCitation":"(Anonimous, n.d.)","plainTextFormattedCitation":"(Anonimous, n.d.)","previouslyFormattedCitation":"(Anonimous, n.d.)"},"properties":{"noteIndex":0},"schema":"https://github.com/citation-style-language/schema/raw/master/csl-citation.json"}</w:instrText>
      </w:r>
      <w:r w:rsidR="00153A2C">
        <w:rPr>
          <w:rFonts w:ascii="Bookman Old Style" w:hAnsi="Bookman Old Style" w:cstheme="majorBidi"/>
        </w:rPr>
        <w:fldChar w:fldCharType="separate"/>
      </w:r>
      <w:r w:rsidR="00153A2C" w:rsidRPr="00153A2C">
        <w:rPr>
          <w:rFonts w:ascii="Bookman Old Style" w:hAnsi="Bookman Old Style" w:cstheme="majorBidi"/>
          <w:noProof/>
        </w:rPr>
        <w:t>(Anonimous, n.d.)</w:t>
      </w:r>
      <w:r w:rsidR="00153A2C">
        <w:rPr>
          <w:rFonts w:ascii="Bookman Old Style" w:hAnsi="Bookman Old Style" w:cstheme="majorBidi"/>
        </w:rPr>
        <w:fldChar w:fldCharType="end"/>
      </w:r>
      <w:r w:rsidR="00153A2C">
        <w:rPr>
          <w:rFonts w:ascii="Bookman Old Style" w:hAnsi="Bookman Old Style" w:cstheme="majorBidi"/>
        </w:rPr>
        <w:t xml:space="preserve"> </w:t>
      </w:r>
    </w:p>
    <w:p w14:paraId="7BC9B949" w14:textId="390ECBB0" w:rsidR="00207DB8" w:rsidRPr="00B571CB" w:rsidRDefault="005C4BC1" w:rsidP="00B571CB">
      <w:pPr>
        <w:pStyle w:val="ListParagraph"/>
        <w:spacing w:after="0" w:line="240" w:lineRule="auto"/>
        <w:ind w:left="0" w:firstLine="720"/>
        <w:jc w:val="both"/>
        <w:rPr>
          <w:rFonts w:ascii="Bookman Old Style" w:hAnsi="Bookman Old Style" w:cstheme="majorBidi"/>
          <w:rtl/>
        </w:rPr>
      </w:pPr>
      <w:r>
        <w:rPr>
          <w:rFonts w:ascii="Bookman Old Style" w:hAnsi="Bookman Old Style" w:cstheme="majorBidi"/>
        </w:rPr>
        <w:t xml:space="preserve">Berdasarkan keterangan di atas dapat dikatakan bahwa </w:t>
      </w:r>
      <w:r>
        <w:rPr>
          <w:rFonts w:ascii="Bookman Old Style" w:hAnsi="Bookman Old Style" w:cstheme="majorBidi"/>
          <w:i/>
          <w:iCs/>
        </w:rPr>
        <w:t xml:space="preserve">wadh’ al-yad </w:t>
      </w:r>
      <w:r w:rsidR="003047CC">
        <w:rPr>
          <w:rFonts w:ascii="Bookman Old Style" w:hAnsi="Bookman Old Style" w:cstheme="majorBidi"/>
        </w:rPr>
        <w:t>dapat berupa</w:t>
      </w:r>
      <w:r>
        <w:rPr>
          <w:rFonts w:ascii="Bookman Old Style" w:hAnsi="Bookman Old Style" w:cstheme="majorBidi"/>
        </w:rPr>
        <w:t xml:space="preserve"> penguasan secara sah ataupun tidak sah. </w:t>
      </w:r>
      <w:r w:rsidR="003047CC">
        <w:rPr>
          <w:rFonts w:ascii="Bookman Old Style" w:hAnsi="Bookman Old Style" w:cstheme="majorBidi"/>
        </w:rPr>
        <w:t>Adapun yang termasuk kategori perbuatan melawan hukum (</w:t>
      </w:r>
      <w:r w:rsidR="003047CC">
        <w:rPr>
          <w:rFonts w:ascii="Bookman Old Style" w:hAnsi="Bookman Old Style" w:cstheme="majorBidi"/>
          <w:i/>
          <w:iCs/>
        </w:rPr>
        <w:t>‘udwân</w:t>
      </w:r>
      <w:r w:rsidR="003047CC">
        <w:rPr>
          <w:rFonts w:ascii="Bookman Old Style" w:hAnsi="Bookman Old Style" w:cstheme="majorBidi"/>
        </w:rPr>
        <w:t xml:space="preserve">) adalah </w:t>
      </w:r>
      <w:r w:rsidR="003047CC">
        <w:rPr>
          <w:rFonts w:ascii="Bookman Old Style" w:hAnsi="Bookman Old Style" w:cstheme="majorBidi"/>
          <w:i/>
          <w:iCs/>
        </w:rPr>
        <w:t xml:space="preserve">wadh’ al-yad </w:t>
      </w:r>
      <w:r w:rsidR="003047CC">
        <w:rPr>
          <w:rFonts w:ascii="Bookman Old Style" w:hAnsi="Bookman Old Style" w:cstheme="majorBidi"/>
        </w:rPr>
        <w:t xml:space="preserve">yang tidak sah disertai unsur </w:t>
      </w:r>
      <w:r w:rsidR="003047CC">
        <w:rPr>
          <w:rFonts w:ascii="Bookman Old Style" w:hAnsi="Bookman Old Style" w:cstheme="majorBidi"/>
          <w:i/>
          <w:iCs/>
        </w:rPr>
        <w:t>ta’ad</w:t>
      </w:r>
      <w:r w:rsidR="003047CC">
        <w:rPr>
          <w:rFonts w:ascii="Times New Roman" w:hAnsi="Times New Roman" w:cs="Times New Roman"/>
          <w:i/>
          <w:iCs/>
        </w:rPr>
        <w:t>ȋ</w:t>
      </w:r>
      <w:r w:rsidR="003047CC">
        <w:rPr>
          <w:rFonts w:ascii="Bookman Old Style" w:hAnsi="Bookman Old Style" w:cstheme="majorBidi"/>
          <w:i/>
          <w:iCs/>
        </w:rPr>
        <w:t xml:space="preserve">. </w:t>
      </w:r>
      <w:r w:rsidR="003047CC">
        <w:rPr>
          <w:rFonts w:ascii="Bookman Old Style" w:hAnsi="Bookman Old Style" w:cstheme="majorBidi"/>
        </w:rPr>
        <w:t>Amran Suadi memberikan contoh seperti penadahan tanpa akad yang sah, atau pun menguasai barang milik orang lain dengan tujuan memilikinya tanpa izin pemilik aslinya.</w:t>
      </w:r>
      <w:r w:rsidR="00153A2C">
        <w:rPr>
          <w:rFonts w:ascii="Bookman Old Style" w:hAnsi="Bookman Old Style" w:cstheme="majorBidi"/>
        </w:rPr>
        <w:fldChar w:fldCharType="begin" w:fldLock="1"/>
      </w:r>
      <w:r w:rsidR="00F17165">
        <w:rPr>
          <w:rFonts w:ascii="Bookman Old Style" w:hAnsi="Bookman Old Style" w:cstheme="majorBidi"/>
        </w:rPr>
        <w:instrText>ADDIN CSL_CITATION {"citationItems":[{"id":"ITEM-1","itemData":{"author":[{"dropping-particle":"","family":"Amran Suadi","given":"","non-dropping-particle":"","parse-names":false,"suffix":""}],"id":"ITEM-1","issued":{"date-parts":[["2020"]]},"number-of-pages":"113","publisher":"PT RajaGrafindo Persada","publisher-place":"Jakarta","title":"Wanprestasi Dan Perbuatan Melawan Hukum: Dalam Penyelesaian Sengketa Ekonomi Syariah","type":"book"},"uris":["http://www.mendeley.com/documents/?uuid=8e34e13a-19a6-450f-bd7b-70d72f8cbdc6"]}],"mendeley":{"formattedCitation":"(Amran Suadi, 2020)","plainTextFormattedCitation":"(Amran Suadi, 2020)","previouslyFormattedCitation":"(Amran Suadi, 2020)"},"properties":{"noteIndex":0},"schema":"https://github.com/citation-style-language/schema/raw/master/csl-citation.json"}</w:instrText>
      </w:r>
      <w:r w:rsidR="00153A2C">
        <w:rPr>
          <w:rFonts w:ascii="Bookman Old Style" w:hAnsi="Bookman Old Style" w:cstheme="majorBidi"/>
        </w:rPr>
        <w:fldChar w:fldCharType="separate"/>
      </w:r>
      <w:r w:rsidR="00153A2C" w:rsidRPr="00153A2C">
        <w:rPr>
          <w:rFonts w:ascii="Bookman Old Style" w:hAnsi="Bookman Old Style" w:cstheme="majorBidi"/>
          <w:noProof/>
        </w:rPr>
        <w:t>(Amran Suadi, 2020)</w:t>
      </w:r>
      <w:r w:rsidR="00153A2C">
        <w:rPr>
          <w:rFonts w:ascii="Bookman Old Style" w:hAnsi="Bookman Old Style" w:cstheme="majorBidi"/>
        </w:rPr>
        <w:fldChar w:fldCharType="end"/>
      </w:r>
    </w:p>
    <w:p w14:paraId="5C0A6C32" w14:textId="24854A94" w:rsidR="00BE3D2B" w:rsidRPr="00BE3D2B" w:rsidRDefault="00BE3D2B" w:rsidP="00BE3D2B">
      <w:pPr>
        <w:pStyle w:val="ListParagraph"/>
        <w:numPr>
          <w:ilvl w:val="0"/>
          <w:numId w:val="1"/>
        </w:numPr>
        <w:spacing w:after="0" w:line="240" w:lineRule="auto"/>
        <w:jc w:val="both"/>
        <w:rPr>
          <w:rFonts w:ascii="Bookman Old Style" w:hAnsi="Bookman Old Style" w:cstheme="majorBidi"/>
          <w:b/>
          <w:bCs/>
        </w:rPr>
      </w:pPr>
      <w:r>
        <w:rPr>
          <w:rFonts w:ascii="Bookman Old Style" w:hAnsi="Bookman Old Style" w:cstheme="majorBidi"/>
          <w:b/>
          <w:bCs/>
        </w:rPr>
        <w:t xml:space="preserve">Unsur-Unsur Perbuatan Melawan Hukum dalam Hukum Ekonomi Syariah </w:t>
      </w:r>
    </w:p>
    <w:p w14:paraId="75DF6BB6" w14:textId="4EDDC199" w:rsidR="007176B2" w:rsidRPr="00CE696F" w:rsidRDefault="007176B2" w:rsidP="00CE696F">
      <w:pPr>
        <w:pStyle w:val="ListParagraph"/>
        <w:spacing w:after="0" w:line="240" w:lineRule="auto"/>
        <w:ind w:left="0" w:firstLine="720"/>
        <w:jc w:val="both"/>
        <w:rPr>
          <w:rFonts w:ascii="Bookman Old Style" w:hAnsi="Bookman Old Style" w:cstheme="majorBidi"/>
        </w:rPr>
      </w:pPr>
      <w:r w:rsidRPr="00CE696F">
        <w:rPr>
          <w:rFonts w:ascii="Bookman Old Style" w:hAnsi="Bookman Old Style" w:cstheme="majorBidi"/>
        </w:rPr>
        <w:t xml:space="preserve">Sebagaimana dalam konsep wanprestasi, perbuatan melawan hukum dalam perspektif hukum </w:t>
      </w:r>
      <w:r w:rsidR="00FC2BF5">
        <w:rPr>
          <w:rFonts w:ascii="Bookman Old Style" w:hAnsi="Bookman Old Style" w:cstheme="majorBidi"/>
        </w:rPr>
        <w:t>ekonomi syariah</w:t>
      </w:r>
      <w:r w:rsidRPr="00CE696F">
        <w:rPr>
          <w:rFonts w:ascii="Bookman Old Style" w:hAnsi="Bookman Old Style" w:cstheme="majorBidi"/>
        </w:rPr>
        <w:t>, juga baru bisa terjadi jika unsur-unsur PMH terpenuhi. Adapun unsur-unsur perbuatan melawan hukum (</w:t>
      </w:r>
      <w:r w:rsidRPr="00CE696F">
        <w:rPr>
          <w:rFonts w:ascii="Bookman Old Style" w:hAnsi="Bookman Old Style" w:cstheme="majorBidi"/>
          <w:i/>
          <w:iCs/>
        </w:rPr>
        <w:t>al-fi’lu ad-dharar</w:t>
      </w:r>
      <w:r w:rsidRPr="00CE696F">
        <w:rPr>
          <w:rFonts w:ascii="Bookman Old Style" w:hAnsi="Bookman Old Style" w:cstheme="majorBidi"/>
        </w:rPr>
        <w:t xml:space="preserve">) dalam perspektif hukum </w:t>
      </w:r>
      <w:r w:rsidR="008B4C13">
        <w:rPr>
          <w:rFonts w:ascii="Bookman Old Style" w:hAnsi="Bookman Old Style" w:cstheme="majorBidi"/>
        </w:rPr>
        <w:t>ekonomi</w:t>
      </w:r>
      <w:r w:rsidRPr="00CE696F">
        <w:rPr>
          <w:rFonts w:ascii="Bookman Old Style" w:hAnsi="Bookman Old Style" w:cstheme="majorBidi"/>
        </w:rPr>
        <w:t xml:space="preserve"> syariah adalah sebagai berikut:</w:t>
      </w:r>
    </w:p>
    <w:p w14:paraId="17340BC6" w14:textId="77777777" w:rsidR="007176B2" w:rsidRPr="00CE696F" w:rsidRDefault="007176B2" w:rsidP="00CE696F">
      <w:pPr>
        <w:pStyle w:val="ListParagraph"/>
        <w:numPr>
          <w:ilvl w:val="0"/>
          <w:numId w:val="2"/>
        </w:numPr>
        <w:spacing w:after="0" w:line="240" w:lineRule="auto"/>
        <w:jc w:val="both"/>
        <w:rPr>
          <w:rFonts w:ascii="Bookman Old Style" w:hAnsi="Bookman Old Style" w:cstheme="majorBidi"/>
          <w:b/>
          <w:bCs/>
        </w:rPr>
      </w:pPr>
      <w:r w:rsidRPr="00CE696F">
        <w:rPr>
          <w:rFonts w:ascii="Bookman Old Style" w:hAnsi="Bookman Old Style" w:cstheme="majorBidi"/>
          <w:b/>
          <w:bCs/>
        </w:rPr>
        <w:t xml:space="preserve">Unsur Adanya Perbuatan </w:t>
      </w:r>
    </w:p>
    <w:p w14:paraId="42B458B6" w14:textId="0904AB37" w:rsidR="007176B2" w:rsidRPr="00CE696F" w:rsidRDefault="007176B2" w:rsidP="00CE696F">
      <w:pPr>
        <w:pStyle w:val="ListParagraph"/>
        <w:spacing w:after="0" w:line="240" w:lineRule="auto"/>
        <w:ind w:left="0" w:firstLine="720"/>
        <w:jc w:val="both"/>
        <w:rPr>
          <w:rFonts w:ascii="Bookman Old Style" w:hAnsi="Bookman Old Style" w:cstheme="majorBidi"/>
        </w:rPr>
      </w:pPr>
      <w:r w:rsidRPr="00CE696F">
        <w:rPr>
          <w:rFonts w:ascii="Bookman Old Style" w:hAnsi="Bookman Old Style" w:cstheme="majorBidi"/>
        </w:rPr>
        <w:t>Para ahli hukum Islam sepakat bahwa perbuatan melawan hukum (</w:t>
      </w:r>
      <w:r w:rsidRPr="00CE696F">
        <w:rPr>
          <w:rFonts w:ascii="Bookman Old Style" w:hAnsi="Bookman Old Style" w:cstheme="majorBidi"/>
          <w:i/>
          <w:iCs/>
        </w:rPr>
        <w:t>al-fi’lu ad-dharar</w:t>
      </w:r>
      <w:r w:rsidRPr="00CE696F">
        <w:rPr>
          <w:rFonts w:ascii="Bookman Old Style" w:hAnsi="Bookman Old Style" w:cstheme="majorBidi"/>
        </w:rPr>
        <w:t xml:space="preserve">), baik yang bersifat pasif maupun negatif dapat dimintai pertanggungjawaban hukum. Teori hukum Islam juga mengenai perbuatan hukum secara positif dengan istilah </w:t>
      </w:r>
      <w:r w:rsidRPr="00CE696F">
        <w:rPr>
          <w:rFonts w:ascii="Bookman Old Style" w:hAnsi="Bookman Old Style" w:cstheme="majorBidi"/>
          <w:i/>
          <w:iCs/>
        </w:rPr>
        <w:t>al-fi’lu nafi’</w:t>
      </w:r>
      <w:r w:rsidRPr="00CE696F">
        <w:rPr>
          <w:rFonts w:ascii="Bookman Old Style" w:hAnsi="Bookman Old Style" w:cstheme="majorBidi"/>
        </w:rPr>
        <w:t xml:space="preserve">. Dimaksudkan dengan </w:t>
      </w:r>
      <w:r w:rsidRPr="00CE696F">
        <w:rPr>
          <w:rFonts w:ascii="Bookman Old Style" w:hAnsi="Bookman Old Style" w:cstheme="majorBidi"/>
          <w:i/>
          <w:iCs/>
        </w:rPr>
        <w:t xml:space="preserve">al-fi’lu nafi’ </w:t>
      </w:r>
      <w:r w:rsidRPr="00CE696F">
        <w:rPr>
          <w:rFonts w:ascii="Bookman Old Style" w:hAnsi="Bookman Old Style" w:cstheme="majorBidi"/>
        </w:rPr>
        <w:t xml:space="preserve">adalah perbuatan yang bermanfaat sesuai dengan kepatutan. Seseorang yang melihat suatu keadan yang menurut kepatutan ia seharusnya berbuat (wajib berbuat) sesuatu untuk kebaikan, dan jika tidak dilakukan maka akan menimbulkan kerugian pada pihak lain (merupakan hak bagi pihak lain) maka hukum melekatkan kewajiban atasnya untuk melakukan perbuatan tersebut sebagai kepatutan. Berbeda dengan pembahasan-pembahasan timbulnya hak dan kewajiban sebelumnya, yang menitikberatkan pada hak yang lahir, namun dalam hal </w:t>
      </w:r>
      <w:r w:rsidRPr="00CE696F">
        <w:rPr>
          <w:rFonts w:ascii="Bookman Old Style" w:hAnsi="Bookman Old Style" w:cstheme="majorBidi"/>
          <w:i/>
          <w:iCs/>
        </w:rPr>
        <w:t xml:space="preserve">al-fi’lu nafi’ </w:t>
      </w:r>
      <w:r w:rsidRPr="00CE696F">
        <w:rPr>
          <w:rFonts w:ascii="Bookman Old Style" w:hAnsi="Bookman Old Style" w:cstheme="majorBidi"/>
        </w:rPr>
        <w:t>lebih menekankan pada kewajiban (</w:t>
      </w:r>
      <w:r w:rsidRPr="00CE696F">
        <w:rPr>
          <w:rFonts w:ascii="Bookman Old Style" w:hAnsi="Bookman Old Style" w:cstheme="majorBidi"/>
          <w:i/>
          <w:iCs/>
        </w:rPr>
        <w:t>iltizam</w:t>
      </w:r>
      <w:r w:rsidRPr="00CE696F">
        <w:rPr>
          <w:rFonts w:ascii="Bookman Old Style" w:hAnsi="Bookman Old Style" w:cstheme="majorBidi"/>
        </w:rPr>
        <w:t xml:space="preserve">) agar apa yang menjadi hak orang lain tidak terlanggar. Dengan kata lain pembahasan dalam </w:t>
      </w:r>
      <w:r w:rsidRPr="00CE696F">
        <w:rPr>
          <w:rFonts w:ascii="Bookman Old Style" w:hAnsi="Bookman Old Style" w:cstheme="majorBidi"/>
          <w:i/>
          <w:iCs/>
        </w:rPr>
        <w:t xml:space="preserve">al-fi’lu nafi’ </w:t>
      </w:r>
      <w:r w:rsidRPr="00CE696F">
        <w:rPr>
          <w:rFonts w:ascii="Bookman Old Style" w:hAnsi="Bookman Old Style" w:cstheme="majorBidi"/>
        </w:rPr>
        <w:t>lebih menekankan pada akibat sikap pasif (tidak berbuat) padahal secara kepatutan mewajibkan ia berbuat.</w:t>
      </w:r>
    </w:p>
    <w:p w14:paraId="19D604D8" w14:textId="4516581A" w:rsidR="007176B2" w:rsidRPr="00CE696F" w:rsidRDefault="007176B2" w:rsidP="00CE696F">
      <w:pPr>
        <w:pStyle w:val="ListParagraph"/>
        <w:spacing w:after="0" w:line="240" w:lineRule="auto"/>
        <w:ind w:left="0" w:firstLine="720"/>
        <w:jc w:val="both"/>
        <w:rPr>
          <w:rFonts w:ascii="Bookman Old Style" w:hAnsi="Bookman Old Style" w:cstheme="majorBidi"/>
        </w:rPr>
      </w:pPr>
      <w:r w:rsidRPr="00CE696F">
        <w:rPr>
          <w:rFonts w:ascii="Bookman Old Style" w:hAnsi="Bookman Old Style" w:cstheme="majorBidi"/>
        </w:rPr>
        <w:t xml:space="preserve">Beberapa contoh </w:t>
      </w:r>
      <w:r w:rsidRPr="00CE696F">
        <w:rPr>
          <w:rFonts w:ascii="Bookman Old Style" w:hAnsi="Bookman Old Style" w:cstheme="majorBidi"/>
          <w:i/>
          <w:iCs/>
        </w:rPr>
        <w:t xml:space="preserve">fi’lu nafi’ </w:t>
      </w:r>
      <w:r w:rsidRPr="00CE696F">
        <w:rPr>
          <w:rFonts w:ascii="Bookman Old Style" w:hAnsi="Bookman Old Style" w:cstheme="majorBidi"/>
        </w:rPr>
        <w:t>seperti seseorang yang melihat orang lain dalam kondisi membutuhkan bantuan (seperti mengalami kecelakaan lalu lintas), maka ia wajib melakukan sesuatu sebatas kemampuannya.</w:t>
      </w:r>
      <w:r w:rsidR="00F17165">
        <w:rPr>
          <w:rFonts w:ascii="Bookman Old Style" w:hAnsi="Bookman Old Style" w:cstheme="majorBidi"/>
        </w:rPr>
        <w:fldChar w:fldCharType="begin" w:fldLock="1"/>
      </w:r>
      <w:r w:rsidR="00702298">
        <w:rPr>
          <w:rFonts w:ascii="Bookman Old Style" w:hAnsi="Bookman Old Style" w:cstheme="majorBidi"/>
        </w:rPr>
        <w:instrText>ADDIN CSL_CITATION {"citationItems":[{"id":"ITEM-1","itemData":{"author":[{"dropping-particle":"","family":"Dimyauddin Djuwaini","given":"","non-dropping-particle":"","parse-names":false,"suffix":""}],"id":"ITEM-1","issued":{"date-parts":[["2015"]]},"number-of-pages":"12","publisher":"Pustaka Pelajar","publisher-place":"Yogyakarta","title":"Pengantar Fiqh Muamalah","type":"book"},"uris":["http://www.mendeley.com/documents/?uuid=0ac94b3f-433d-45f8-9a1c-782dcb218335"]}],"mendeley":{"formattedCitation":"(Dimyauddin Djuwaini, 2015)","plainTextFormattedCitation":"(Dimyauddin Djuwaini, 2015)","previouslyFormattedCitation":"(Dimyauddin Djuwaini, 2015)"},"properties":{"noteIndex":0},"schema":"https://github.com/citation-style-language/schema/raw/master/csl-citation.json"}</w:instrText>
      </w:r>
      <w:r w:rsidR="00F17165">
        <w:rPr>
          <w:rFonts w:ascii="Bookman Old Style" w:hAnsi="Bookman Old Style" w:cstheme="majorBidi"/>
        </w:rPr>
        <w:fldChar w:fldCharType="separate"/>
      </w:r>
      <w:r w:rsidR="00F17165" w:rsidRPr="00F17165">
        <w:rPr>
          <w:rFonts w:ascii="Bookman Old Style" w:hAnsi="Bookman Old Style" w:cstheme="majorBidi"/>
          <w:noProof/>
        </w:rPr>
        <w:t>(Dimyauddin Djuwaini, 2015)</w:t>
      </w:r>
      <w:r w:rsidR="00F17165">
        <w:rPr>
          <w:rFonts w:ascii="Bookman Old Style" w:hAnsi="Bookman Old Style" w:cstheme="majorBidi"/>
        </w:rPr>
        <w:fldChar w:fldCharType="end"/>
      </w:r>
      <w:r w:rsidRPr="00CE696F">
        <w:rPr>
          <w:rFonts w:ascii="Bookman Old Style" w:hAnsi="Bookman Old Style" w:cstheme="majorBidi"/>
        </w:rPr>
        <w:t xml:space="preserve"> Contoh lain, seseorang yang mengetahui adanya percikan api pada kabel listrik atas sebuah rumah yang </w:t>
      </w:r>
      <w:r w:rsidRPr="00CE696F">
        <w:rPr>
          <w:rFonts w:ascii="Bookman Old Style" w:hAnsi="Bookman Old Style" w:cstheme="majorBidi"/>
        </w:rPr>
        <w:lastRenderedPageBreak/>
        <w:t>baru saja dibeli dengan akad murabahah, lalu ia membiarkan kejadian tersebut sehingga berakibat rumah tersebut terbakar. Seandainya kejadian tersebut segera diberitahukan kepada pemilik rumah, pemilik rumah dapat melakukan pemadaman aliran listrik, kemungkinan besar konsleting tersebut tidak berakibat kebakaran rumah. Dengan seseorang tida melakukan sesuatu yang seharusnya ia lakukan, mengakibatkan terbakarnya rumah akibat konsleting listrik.</w:t>
      </w:r>
    </w:p>
    <w:p w14:paraId="42848439" w14:textId="77777777" w:rsidR="007176B2" w:rsidRPr="00CE696F" w:rsidRDefault="007176B2" w:rsidP="00CE696F">
      <w:pPr>
        <w:pStyle w:val="ListParagraph"/>
        <w:spacing w:after="0" w:line="240" w:lineRule="auto"/>
        <w:ind w:left="0" w:firstLine="720"/>
        <w:jc w:val="both"/>
        <w:rPr>
          <w:rFonts w:ascii="Bookman Old Style" w:hAnsi="Bookman Old Style" w:cstheme="majorBidi"/>
        </w:rPr>
      </w:pPr>
      <w:r w:rsidRPr="00CE696F">
        <w:rPr>
          <w:rFonts w:ascii="Bookman Old Style" w:hAnsi="Bookman Old Style" w:cstheme="majorBidi"/>
        </w:rPr>
        <w:t xml:space="preserve">Untuk menentukan ukuran kepatutan, teori hukum Islam menggunakan pendekatan </w:t>
      </w:r>
      <w:r w:rsidRPr="00CE696F">
        <w:rPr>
          <w:rFonts w:ascii="Bookman Old Style" w:hAnsi="Bookman Old Style" w:cstheme="majorBidi"/>
          <w:i/>
          <w:iCs/>
        </w:rPr>
        <w:t xml:space="preserve">‘urf </w:t>
      </w:r>
      <w:r w:rsidRPr="00CE696F">
        <w:rPr>
          <w:rFonts w:ascii="Bookman Old Style" w:hAnsi="Bookman Old Style" w:cstheme="majorBidi"/>
        </w:rPr>
        <w:t>(adat kebiasan), bila mana adat kebiasan mengharuskan seseorang berbuat atau tidak berbuat, maka hal tersebut mempunyai kekuatan sebagai hukum. Konsep mengenai ‘</w:t>
      </w:r>
      <w:r w:rsidRPr="00CE696F">
        <w:rPr>
          <w:rFonts w:ascii="Bookman Old Style" w:hAnsi="Bookman Old Style" w:cstheme="majorBidi"/>
          <w:i/>
          <w:iCs/>
        </w:rPr>
        <w:t xml:space="preserve">urf </w:t>
      </w:r>
      <w:r w:rsidRPr="00CE696F">
        <w:rPr>
          <w:rFonts w:ascii="Bookman Old Style" w:hAnsi="Bookman Old Style" w:cstheme="majorBidi"/>
        </w:rPr>
        <w:t xml:space="preserve">dalam hukum Islam diakui eksistensinya dan bahkan dapat dijadikan pertimbangan dalam penetapan hukum. Hal ini sebagaimana kaidah fikih asasiyah bahwa </w:t>
      </w:r>
      <w:r w:rsidRPr="00CE696F">
        <w:rPr>
          <w:rFonts w:ascii="Bookman Old Style" w:hAnsi="Bookman Old Style" w:cstheme="majorBidi"/>
          <w:i/>
          <w:iCs/>
        </w:rPr>
        <w:t>al-‘âdah mu</w:t>
      </w:r>
      <w:r w:rsidRPr="00CE696F">
        <w:rPr>
          <w:rFonts w:ascii="Bookman Old Style" w:hAnsi="Bookman Old Style" w:cstheme="majorBidi"/>
          <w:i/>
          <w:iCs/>
          <w:u w:val="single"/>
        </w:rPr>
        <w:t>h</w:t>
      </w:r>
      <w:r w:rsidRPr="00CE696F">
        <w:rPr>
          <w:rFonts w:ascii="Bookman Old Style" w:hAnsi="Bookman Old Style" w:cstheme="majorBidi"/>
          <w:i/>
          <w:iCs/>
        </w:rPr>
        <w:t>akamah</w:t>
      </w:r>
      <w:r w:rsidRPr="00CE696F">
        <w:rPr>
          <w:rFonts w:ascii="Bookman Old Style" w:hAnsi="Bookman Old Style" w:cstheme="majorBidi"/>
        </w:rPr>
        <w:t>.</w:t>
      </w:r>
    </w:p>
    <w:p w14:paraId="70D1498F" w14:textId="77777777" w:rsidR="007176B2" w:rsidRPr="00CE696F" w:rsidRDefault="007176B2" w:rsidP="00CE696F">
      <w:pPr>
        <w:pStyle w:val="ListParagraph"/>
        <w:numPr>
          <w:ilvl w:val="0"/>
          <w:numId w:val="2"/>
        </w:numPr>
        <w:spacing w:after="0" w:line="240" w:lineRule="auto"/>
        <w:jc w:val="both"/>
        <w:rPr>
          <w:rFonts w:ascii="Bookman Old Style" w:hAnsi="Bookman Old Style" w:cstheme="majorBidi"/>
          <w:b/>
          <w:bCs/>
        </w:rPr>
      </w:pPr>
      <w:r w:rsidRPr="00CE696F">
        <w:rPr>
          <w:rFonts w:ascii="Bookman Old Style" w:hAnsi="Bookman Old Style" w:cstheme="majorBidi"/>
          <w:b/>
          <w:bCs/>
        </w:rPr>
        <w:t>Unsur Melawan Hukum</w:t>
      </w:r>
    </w:p>
    <w:p w14:paraId="27FFDE66" w14:textId="77777777" w:rsidR="007176B2" w:rsidRPr="00CE696F" w:rsidRDefault="007176B2" w:rsidP="00CE696F">
      <w:pPr>
        <w:spacing w:after="0" w:line="240" w:lineRule="auto"/>
        <w:ind w:firstLine="720"/>
        <w:jc w:val="both"/>
        <w:rPr>
          <w:rFonts w:ascii="Bookman Old Style" w:hAnsi="Bookman Old Style" w:cstheme="majorBidi"/>
        </w:rPr>
      </w:pPr>
      <w:r w:rsidRPr="00CE696F">
        <w:rPr>
          <w:rFonts w:ascii="Bookman Old Style" w:hAnsi="Bookman Old Style" w:cstheme="majorBidi"/>
        </w:rPr>
        <w:t xml:space="preserve">Beberapa gambaran perbuatan melawan hukum yang bersifat pasif dalam akad syariah seperti si A melakukan akad </w:t>
      </w:r>
      <w:r w:rsidRPr="00CE696F">
        <w:rPr>
          <w:rFonts w:ascii="Bookman Old Style" w:hAnsi="Bookman Old Style" w:cstheme="majorBidi"/>
          <w:i/>
          <w:iCs/>
        </w:rPr>
        <w:t xml:space="preserve">ijarah </w:t>
      </w:r>
      <w:r w:rsidRPr="00CE696F">
        <w:rPr>
          <w:rFonts w:ascii="Bookman Old Style" w:hAnsi="Bookman Old Style" w:cstheme="majorBidi"/>
        </w:rPr>
        <w:t>(sewa-menyewa) dengan si B, terhadap sebuah rumah selama satu tahun. Belakangan diketahui bahwa A bukanlah pemilik rumah tersebut. Perbuatan A tersebut secara hukum melanggar ketentuan dimana pihak yang menyewaakan (</w:t>
      </w:r>
      <w:r w:rsidRPr="00CE696F">
        <w:rPr>
          <w:rFonts w:ascii="Bookman Old Style" w:hAnsi="Bookman Old Style" w:cstheme="majorBidi"/>
          <w:i/>
          <w:iCs/>
        </w:rPr>
        <w:t>mu’ajir</w:t>
      </w:r>
      <w:r w:rsidRPr="00CE696F">
        <w:rPr>
          <w:rFonts w:ascii="Bookman Old Style" w:hAnsi="Bookman Old Style" w:cstheme="majorBidi"/>
        </w:rPr>
        <w:t>) haruslah orang yang memiliki barang yang disewakan.</w:t>
      </w:r>
      <w:r w:rsidRPr="00744F42">
        <w:rPr>
          <w:rStyle w:val="FootnoteReference"/>
        </w:rPr>
        <w:footnoteReference w:id="2"/>
      </w:r>
      <w:r w:rsidRPr="00CE696F">
        <w:rPr>
          <w:rFonts w:ascii="Bookman Old Style" w:hAnsi="Bookman Old Style" w:cstheme="majorBidi"/>
        </w:rPr>
        <w:t xml:space="preserve"> Dengan demikian, perbuatan sewa-menyewa tersebut dilakukan melawan ketentuan hukum yang berlaku tentang sewa-menyewa dengan prinsip syariah. </w:t>
      </w:r>
    </w:p>
    <w:p w14:paraId="1E03B4D1" w14:textId="77777777" w:rsidR="007176B2" w:rsidRPr="00CE696F" w:rsidRDefault="007176B2" w:rsidP="00CE696F">
      <w:pPr>
        <w:spacing w:after="0" w:line="240" w:lineRule="auto"/>
        <w:ind w:firstLine="720"/>
        <w:jc w:val="both"/>
        <w:rPr>
          <w:rFonts w:ascii="Bookman Old Style" w:hAnsi="Bookman Old Style" w:cstheme="majorBidi"/>
        </w:rPr>
      </w:pPr>
      <w:r w:rsidRPr="00CE696F">
        <w:rPr>
          <w:rFonts w:ascii="Bookman Old Style" w:hAnsi="Bookman Old Style" w:cstheme="majorBidi"/>
        </w:rPr>
        <w:t xml:space="preserve">Contoh lainm si A melakukan akad </w:t>
      </w:r>
      <w:r w:rsidRPr="00CE696F">
        <w:rPr>
          <w:rFonts w:ascii="Bookman Old Style" w:hAnsi="Bookman Old Style" w:cstheme="majorBidi"/>
          <w:i/>
          <w:iCs/>
        </w:rPr>
        <w:t xml:space="preserve">rahn </w:t>
      </w:r>
      <w:r w:rsidRPr="00CE696F">
        <w:rPr>
          <w:rFonts w:ascii="Bookman Old Style" w:hAnsi="Bookman Old Style" w:cstheme="majorBidi"/>
        </w:rPr>
        <w:t>(gadai) dengan si B dengan jaminan sebuah modil dan jaminan tersebut telah diserahkan dalam keadaan baik kepada B seabagai penerima gadai (</w:t>
      </w:r>
      <w:r w:rsidRPr="00CE696F">
        <w:rPr>
          <w:rFonts w:ascii="Bookman Old Style" w:hAnsi="Bookman Old Style" w:cstheme="majorBidi"/>
          <w:i/>
          <w:iCs/>
        </w:rPr>
        <w:t>murtahin</w:t>
      </w:r>
      <w:r w:rsidRPr="00CE696F">
        <w:rPr>
          <w:rFonts w:ascii="Bookman Old Style" w:hAnsi="Bookman Old Style" w:cstheme="majorBidi"/>
        </w:rPr>
        <w:t>). Oleh B mobil tersebut diletakkan saja di halaman depan rumah dan tidak dilengkapi dengan sistem pengamanan yang memadai, baik dalam bentuk pagar maupun penjaga, sehingga mobil jaminan tersebut hilang dibawa pencuri. Perbuatan B tersebut bertentangan dengan kewajiban yang diberikan undang-undang kepada penerima jaminan gadai.</w:t>
      </w:r>
      <w:r w:rsidRPr="00744F42">
        <w:rPr>
          <w:rStyle w:val="FootnoteReference"/>
        </w:rPr>
        <w:footnoteReference w:id="3"/>
      </w:r>
    </w:p>
    <w:p w14:paraId="0F3C6D87" w14:textId="77777777" w:rsidR="007176B2" w:rsidRPr="00CE696F" w:rsidRDefault="007176B2" w:rsidP="00CE696F">
      <w:pPr>
        <w:spacing w:after="0" w:line="240" w:lineRule="auto"/>
        <w:ind w:firstLine="720"/>
        <w:jc w:val="both"/>
        <w:rPr>
          <w:rFonts w:ascii="Bookman Old Style" w:hAnsi="Bookman Old Style" w:cstheme="majorBidi"/>
        </w:rPr>
      </w:pPr>
      <w:r w:rsidRPr="00CE696F">
        <w:rPr>
          <w:rFonts w:ascii="Bookman Old Style" w:hAnsi="Bookman Old Style" w:cstheme="majorBidi"/>
        </w:rPr>
        <w:t xml:space="preserve">Adapun perbuatan negatif dalam arti tidak boleh melakukan sesuatu, dapat digambarkan sebagaimana seseorang yang mengetahui adanya percikan api pada kabel listrik atas sebuah rumah yang baru saja dibeli dengan akad </w:t>
      </w:r>
      <w:r w:rsidRPr="00CE696F">
        <w:rPr>
          <w:rFonts w:ascii="Bookman Old Style" w:hAnsi="Bookman Old Style" w:cstheme="majorBidi"/>
          <w:i/>
          <w:iCs/>
        </w:rPr>
        <w:t xml:space="preserve">murabahah </w:t>
      </w:r>
      <w:r w:rsidRPr="00CE696F">
        <w:rPr>
          <w:rFonts w:ascii="Bookman Old Style" w:hAnsi="Bookman Old Style" w:cstheme="majorBidi"/>
        </w:rPr>
        <w:t>(prinsip syariah), lalu ia membiarkan kejadian tersebut sehingga berakibat rumah tersebut terbakar. Seandainya kejadikan tersebut segera diberitahukan kepada pemilik rumah, pemilik rumah dapat melakukan pemadaman aliran listrik, kemungkinan besar konsleting listrik tersebut tidak berimplikasi terhadap kebakaran rumah. Dengan seseorang tidak melakukan sesuatu yang seharusnya ia lakukan, mengakibatkan terbakarnya rumah akibat konsleting listrik.</w:t>
      </w:r>
    </w:p>
    <w:p w14:paraId="1C427EFB" w14:textId="49863333" w:rsidR="007176B2" w:rsidRPr="00CE696F" w:rsidRDefault="007176B2" w:rsidP="00CE696F">
      <w:pPr>
        <w:spacing w:after="0" w:line="240" w:lineRule="auto"/>
        <w:ind w:firstLine="720"/>
        <w:jc w:val="both"/>
        <w:rPr>
          <w:rFonts w:ascii="Bookman Old Style" w:hAnsi="Bookman Old Style" w:cstheme="majorBidi"/>
        </w:rPr>
      </w:pPr>
      <w:r w:rsidRPr="00CE696F">
        <w:rPr>
          <w:rFonts w:ascii="Bookman Old Style" w:hAnsi="Bookman Old Style" w:cstheme="majorBidi"/>
        </w:rPr>
        <w:t xml:space="preserve">Perbuatan yang bertentangan dengan kehati-hatian atau keharusan dalam pergaulan masyarakat yang baik ini juga dianggap sebagai perbuatan melawan hukum. Jika seseorang melakukan tindakan yang merugikan orang lain, tidak secara melanggar pasal-pasal dari hukum tertulis, dapat gugat dengan perbuatan melawan hukum karena tindakannya tersebut bertentangan dengan prinsip kehati-hatian atau keharusan dalam pergaulan </w:t>
      </w:r>
      <w:r w:rsidRPr="00CE696F">
        <w:rPr>
          <w:rFonts w:ascii="Bookman Old Style" w:hAnsi="Bookman Old Style" w:cstheme="majorBidi"/>
        </w:rPr>
        <w:lastRenderedPageBreak/>
        <w:t>masyarakat. Keharusan dalam masyarakat tersebut tentunya tidak tertulis, tetapi diakui oleh masyarakat yang bersangkutan.</w:t>
      </w:r>
      <w:r w:rsidR="00702298">
        <w:rPr>
          <w:rFonts w:ascii="Bookman Old Style" w:hAnsi="Bookman Old Style" w:cstheme="majorBidi"/>
        </w:rPr>
        <w:fldChar w:fldCharType="begin" w:fldLock="1"/>
      </w:r>
      <w:r w:rsidR="00661825">
        <w:rPr>
          <w:rFonts w:ascii="Bookman Old Style" w:hAnsi="Bookman Old Style" w:cstheme="majorBidi"/>
        </w:rPr>
        <w:instrText>ADDIN CSL_CITATION {"citationItems":[{"id":"ITEM-1","itemData":{"author":[{"dropping-particle":"","family":"Munir Fuady","given":"","non-dropping-particle":"","parse-names":false,"suffix":""}],"id":"ITEM-1","issued":{"date-parts":[["2005"]]},"number-of-pages":"9","publisher":"Citra Aditya Bakti","publisher-place":"Bandung","title":"Perbuatan Melawan Hukum Pendekatan Kontemporer","type":"book"},"uris":["http://www.mendeley.com/documents/?uuid=28c50ffd-644a-4ef8-9825-82e3966d207f"]}],"mendeley":{"formattedCitation":"(Munir Fuady, 2005)","plainTextFormattedCitation":"(Munir Fuady, 2005)","previouslyFormattedCitation":"(Munir Fuady, 2005)"},"properties":{"noteIndex":0},"schema":"https://github.com/citation-style-language/schema/raw/master/csl-citation.json"}</w:instrText>
      </w:r>
      <w:r w:rsidR="00702298">
        <w:rPr>
          <w:rFonts w:ascii="Bookman Old Style" w:hAnsi="Bookman Old Style" w:cstheme="majorBidi"/>
        </w:rPr>
        <w:fldChar w:fldCharType="separate"/>
      </w:r>
      <w:r w:rsidR="00702298" w:rsidRPr="00702298">
        <w:rPr>
          <w:rFonts w:ascii="Bookman Old Style" w:hAnsi="Bookman Old Style" w:cstheme="majorBidi"/>
          <w:noProof/>
        </w:rPr>
        <w:t>(Munir Fuady, 2005)</w:t>
      </w:r>
      <w:r w:rsidR="00702298">
        <w:rPr>
          <w:rFonts w:ascii="Bookman Old Style" w:hAnsi="Bookman Old Style" w:cstheme="majorBidi"/>
        </w:rPr>
        <w:fldChar w:fldCharType="end"/>
      </w:r>
      <w:r w:rsidRPr="00CE696F">
        <w:rPr>
          <w:rFonts w:ascii="Bookman Old Style" w:hAnsi="Bookman Old Style" w:cstheme="majorBidi"/>
        </w:rPr>
        <w:t xml:space="preserve"> Kesusilaan berarti perihal susila yang berkaitan dengan adab dan sopan santun. Susila bermakna baik budi bahasannya, beradab, sopan, tertib, adat istiadat yang baik, sopan santun. Kesusilaan yang baik adalah yang dapat dinyatakan sebagai norma moral atau yang dapat pergaulan masyarakat telah diterima sebagai norma hukum.</w:t>
      </w:r>
      <w:r w:rsidR="00661825">
        <w:rPr>
          <w:rFonts w:ascii="Bookman Old Style" w:hAnsi="Bookman Old Style" w:cstheme="majorBidi"/>
        </w:rPr>
        <w:fldChar w:fldCharType="begin" w:fldLock="1"/>
      </w:r>
      <w:r w:rsidR="00710070">
        <w:rPr>
          <w:rFonts w:ascii="Bookman Old Style" w:hAnsi="Bookman Old Style" w:cstheme="majorBidi"/>
        </w:rPr>
        <w:instrText>ADDIN CSL_CITATION {"citationItems":[{"id":"ITEM-1","itemData":{"author":[{"dropping-particle":"","family":"J. Satrio","given":"","non-dropping-particle":"","parse-names":false,"suffix":""}],"id":"ITEM-1","issued":{"date-parts":[["1993"]]},"number-of-pages":"186","publisher":"Citra Aditya Bakti","publisher-place":"Bandung","title":"Hukum Perikatan (Perikatan yang Lahir dari Undang-Undang)","type":"book"},"uris":["http://www.mendeley.com/documents/?uuid=1ede8a84-3765-4d8e-ad29-54de3c375d54"]}],"mendeley":{"formattedCitation":"(J. Satrio, 1993)","plainTextFormattedCitation":"(J. Satrio, 1993)","previouslyFormattedCitation":"(J. Satrio, 1993)"},"properties":{"noteIndex":0},"schema":"https://github.com/citation-style-language/schema/raw/master/csl-citation.json"}</w:instrText>
      </w:r>
      <w:r w:rsidR="00661825">
        <w:rPr>
          <w:rFonts w:ascii="Bookman Old Style" w:hAnsi="Bookman Old Style" w:cstheme="majorBidi"/>
        </w:rPr>
        <w:fldChar w:fldCharType="separate"/>
      </w:r>
      <w:r w:rsidR="00661825" w:rsidRPr="00661825">
        <w:rPr>
          <w:rFonts w:ascii="Bookman Old Style" w:hAnsi="Bookman Old Style" w:cstheme="majorBidi"/>
          <w:noProof/>
        </w:rPr>
        <w:t>(J. Satrio, 1993)</w:t>
      </w:r>
      <w:r w:rsidR="00661825">
        <w:rPr>
          <w:rFonts w:ascii="Bookman Old Style" w:hAnsi="Bookman Old Style" w:cstheme="majorBidi"/>
        </w:rPr>
        <w:fldChar w:fldCharType="end"/>
      </w:r>
    </w:p>
    <w:p w14:paraId="3E0E19BB" w14:textId="77777777" w:rsidR="007176B2" w:rsidRPr="00CE696F" w:rsidRDefault="007176B2" w:rsidP="00CE696F">
      <w:pPr>
        <w:pStyle w:val="ListParagraph"/>
        <w:numPr>
          <w:ilvl w:val="0"/>
          <w:numId w:val="2"/>
        </w:numPr>
        <w:spacing w:after="0" w:line="240" w:lineRule="auto"/>
        <w:jc w:val="both"/>
        <w:rPr>
          <w:rFonts w:ascii="Bookman Old Style" w:hAnsi="Bookman Old Style" w:cstheme="majorBidi"/>
          <w:b/>
          <w:bCs/>
        </w:rPr>
      </w:pPr>
      <w:r w:rsidRPr="00CE696F">
        <w:rPr>
          <w:rFonts w:ascii="Bookman Old Style" w:hAnsi="Bookman Old Style" w:cstheme="majorBidi"/>
          <w:b/>
          <w:bCs/>
        </w:rPr>
        <w:t>Unsur Adanya Kesalahan</w:t>
      </w:r>
    </w:p>
    <w:p w14:paraId="3DFDFDC4" w14:textId="66B8C892" w:rsidR="007176B2" w:rsidRPr="00CE696F" w:rsidRDefault="007176B2" w:rsidP="00CE696F">
      <w:pPr>
        <w:spacing w:after="0" w:line="240" w:lineRule="auto"/>
        <w:ind w:firstLine="720"/>
        <w:jc w:val="both"/>
        <w:rPr>
          <w:rFonts w:ascii="Bookman Old Style" w:hAnsi="Bookman Old Style" w:cstheme="majorBidi"/>
        </w:rPr>
      </w:pPr>
      <w:r w:rsidRPr="00CE696F">
        <w:rPr>
          <w:rFonts w:ascii="Bookman Old Style" w:hAnsi="Bookman Old Style" w:cstheme="majorBidi"/>
        </w:rPr>
        <w:t xml:space="preserve">Dalam bahasa Arab, kesalahan dalam perbuatan melawan hukum disebut dengan istilah </w:t>
      </w:r>
      <w:r w:rsidRPr="00CE696F">
        <w:rPr>
          <w:rFonts w:ascii="Bookman Old Style" w:hAnsi="Bookman Old Style" w:cstheme="majorBidi"/>
          <w:i/>
          <w:iCs/>
        </w:rPr>
        <w:t xml:space="preserve">i’tidâ/al-ta’adî </w:t>
      </w:r>
      <w:r w:rsidRPr="00CE696F">
        <w:rPr>
          <w:rFonts w:ascii="Bookman Old Style" w:hAnsi="Bookman Old Style" w:cstheme="majorBidi"/>
        </w:rPr>
        <w:t xml:space="preserve">. Arti dari </w:t>
      </w:r>
      <w:r w:rsidRPr="00CE696F">
        <w:rPr>
          <w:rFonts w:ascii="Bookman Old Style" w:hAnsi="Bookman Old Style" w:cstheme="majorBidi"/>
          <w:i/>
          <w:iCs/>
        </w:rPr>
        <w:t xml:space="preserve">al-ta’adî </w:t>
      </w:r>
      <w:r w:rsidRPr="00CE696F">
        <w:rPr>
          <w:rFonts w:ascii="Bookman Old Style" w:hAnsi="Bookman Old Style" w:cstheme="majorBidi"/>
        </w:rPr>
        <w:t xml:space="preserve">sendiri secara bahasa adalah melampaui batas, sedangkan secara istilah </w:t>
      </w:r>
      <w:r w:rsidRPr="00CE696F">
        <w:rPr>
          <w:rFonts w:ascii="Bookman Old Style" w:hAnsi="Bookman Old Style" w:cstheme="majorBidi"/>
          <w:i/>
          <w:iCs/>
        </w:rPr>
        <w:t xml:space="preserve">al-ta’adî </w:t>
      </w:r>
      <w:r w:rsidRPr="00CE696F">
        <w:rPr>
          <w:rFonts w:ascii="Bookman Old Style" w:hAnsi="Bookman Old Style" w:cstheme="majorBidi"/>
        </w:rPr>
        <w:t>adalah perbuatan melampaiu batas atas hal yang seharusnya dinilai cukup secara hukum (syariat) maupun adat kebiasan.</w:t>
      </w:r>
    </w:p>
    <w:p w14:paraId="53FD1215" w14:textId="66F28D01" w:rsidR="007176B2" w:rsidRPr="00CE696F" w:rsidRDefault="007176B2" w:rsidP="00CE696F">
      <w:pPr>
        <w:spacing w:after="0" w:line="240" w:lineRule="auto"/>
        <w:ind w:firstLine="720"/>
        <w:jc w:val="both"/>
        <w:rPr>
          <w:rFonts w:ascii="Bookman Old Style" w:hAnsi="Bookman Old Style" w:cstheme="majorBidi"/>
        </w:rPr>
      </w:pPr>
      <w:r w:rsidRPr="00CE696F">
        <w:rPr>
          <w:rFonts w:ascii="Bookman Old Style" w:hAnsi="Bookman Old Style" w:cstheme="majorBidi"/>
        </w:rPr>
        <w:t>Dalam konteks perbuatan melawan hukum, kesalahan yang dimaksud di sini mencakup konteks melakukan sesuatu seperti sengaja membakar, menenggelamkan, atau merusak, dan juga tidak melakukan sesuatu, seperti diam ketika barang titipan diambil orang lain. Jenis lain dari kesalahan ini adalah kesalahan langsung seperti memotong pohon milik orang lain tanpa hak, maupun kesalahan tidak langsung seperti membuat sumur di jalan umum tanpa izin yang kemudian menyebabkan kendaraan terperosok di dalamnya.</w:t>
      </w:r>
      <w:r w:rsidR="00710070">
        <w:rPr>
          <w:rFonts w:ascii="Bookman Old Style" w:hAnsi="Bookman Old Style" w:cstheme="majorBidi"/>
        </w:rPr>
        <w:fldChar w:fldCharType="begin" w:fldLock="1"/>
      </w:r>
      <w:r w:rsidR="00710070">
        <w:rPr>
          <w:rFonts w:ascii="Bookman Old Style" w:hAnsi="Bookman Old Style" w:cstheme="majorBidi"/>
        </w:rPr>
        <w:instrText>ADDIN CSL_CITATION {"citationItems":[{"id":"ITEM-1","itemData":{"author":[{"dropping-particle":"","family":"Amran Suadi","given":"","non-dropping-particle":"","parse-names":false,"suffix":""}],"id":"ITEM-1","issued":{"date-parts":[["2020"]]},"number-of-pages":"113","publisher":"PT RajaGrafindo Persada","publisher-place":"Jakarta","title":"Wanprestasi Dan Perbuatan Melawan Hukum: Dalam Penyelesaian Sengketa Ekonomi Syariah","type":"book"},"uris":["http://www.mendeley.com/documents/?uuid=8e34e13a-19a6-450f-bd7b-70d72f8cbdc6"]}],"mendeley":{"formattedCitation":"(Amran Suadi, 2020)","plainTextFormattedCitation":"(Amran Suadi, 2020)","previouslyFormattedCitation":"(Amran Suadi, 2020)"},"properties":{"noteIndex":0},"schema":"https://github.com/citation-style-language/schema/raw/master/csl-citation.json"}</w:instrText>
      </w:r>
      <w:r w:rsidR="00710070">
        <w:rPr>
          <w:rFonts w:ascii="Bookman Old Style" w:hAnsi="Bookman Old Style" w:cstheme="majorBidi"/>
        </w:rPr>
        <w:fldChar w:fldCharType="separate"/>
      </w:r>
      <w:r w:rsidR="00710070" w:rsidRPr="00710070">
        <w:rPr>
          <w:rFonts w:ascii="Bookman Old Style" w:hAnsi="Bookman Old Style" w:cstheme="majorBidi"/>
          <w:noProof/>
        </w:rPr>
        <w:t>(Amran Suadi, 2020)</w:t>
      </w:r>
      <w:r w:rsidR="00710070">
        <w:rPr>
          <w:rFonts w:ascii="Bookman Old Style" w:hAnsi="Bookman Old Style" w:cstheme="majorBidi"/>
        </w:rPr>
        <w:fldChar w:fldCharType="end"/>
      </w:r>
    </w:p>
    <w:p w14:paraId="2EAB8D37" w14:textId="77777777" w:rsidR="007176B2" w:rsidRDefault="007176B2" w:rsidP="00CE696F">
      <w:pPr>
        <w:spacing w:after="0" w:line="240" w:lineRule="auto"/>
        <w:ind w:firstLine="720"/>
        <w:jc w:val="both"/>
        <w:rPr>
          <w:rFonts w:asciiTheme="majorBidi" w:hAnsiTheme="majorBidi" w:cstheme="majorBidi"/>
          <w:sz w:val="24"/>
          <w:szCs w:val="24"/>
        </w:rPr>
      </w:pPr>
      <w:r w:rsidRPr="00CE696F">
        <w:rPr>
          <w:rFonts w:ascii="Bookman Old Style" w:hAnsi="Bookman Old Style" w:cstheme="majorBidi"/>
        </w:rPr>
        <w:t>Sebagaimana dalam wanprestasi, ketentuan agar suatu perbuatan dapat dikategorikan sebagai perbuatan melawan hukum dalam perspektif hukum Islam adalah apabila perbuatan tersebut menyalahi kebiasaan orang pada umumnya, bukan kebiasaan orang yang terlampau bodoh atau terlampau pintar. Ketentuan ini berdasar pada kaidah fikih yang berbunyi:</w:t>
      </w:r>
    </w:p>
    <w:p w14:paraId="06554BCE" w14:textId="1846A94E" w:rsidR="007176B2" w:rsidRPr="00856131" w:rsidRDefault="007176B2" w:rsidP="007176B2">
      <w:pPr>
        <w:autoSpaceDE w:val="0"/>
        <w:autoSpaceDN w:val="0"/>
        <w:bidi/>
        <w:adjustRightInd w:val="0"/>
        <w:spacing w:after="0" w:line="240" w:lineRule="auto"/>
        <w:rPr>
          <w:rFonts w:ascii="Traditional Arabic" w:hAnsi="Traditional Arabic" w:cs="Traditional Arabic"/>
          <w:sz w:val="36"/>
          <w:szCs w:val="36"/>
          <w:lang w:val="en-US"/>
        </w:rPr>
      </w:pPr>
      <w:r w:rsidRPr="00856131">
        <w:rPr>
          <w:rFonts w:ascii="Traditional Arabic" w:hAnsi="Traditional Arabic" w:cs="Traditional Arabic"/>
          <w:sz w:val="36"/>
          <w:szCs w:val="36"/>
          <w:rtl/>
        </w:rPr>
        <w:t>قَالَ الْفُقَهَاءُ: كُلُّ مَا وَرَدَ بِهِ الشَّرْعُ مُطْلَقًا، وَلَا ضَابِطَ لَهُ فِيهِ، وَلَا فِي اللُّغَةِ، يُرْجَعُ فِيهِ إلَى الْعُرْفِ.</w:t>
      </w:r>
    </w:p>
    <w:p w14:paraId="1149C2A1" w14:textId="07CB2F29" w:rsidR="007176B2" w:rsidRPr="00CE696F" w:rsidRDefault="007176B2" w:rsidP="00CE696F">
      <w:pPr>
        <w:spacing w:after="0" w:line="240" w:lineRule="auto"/>
        <w:ind w:left="720"/>
        <w:jc w:val="both"/>
        <w:rPr>
          <w:rFonts w:ascii="Bookman Old Style" w:hAnsi="Bookman Old Style" w:cstheme="majorBidi"/>
        </w:rPr>
      </w:pPr>
      <w:r w:rsidRPr="00CE696F">
        <w:rPr>
          <w:rFonts w:ascii="Bookman Old Style" w:hAnsi="Bookman Old Style" w:cstheme="majorBidi"/>
        </w:rPr>
        <w:t>“</w:t>
      </w:r>
      <w:r w:rsidRPr="00CE696F">
        <w:rPr>
          <w:rFonts w:ascii="Bookman Old Style" w:hAnsi="Bookman Old Style" w:cstheme="majorBidi"/>
          <w:i/>
          <w:iCs/>
        </w:rPr>
        <w:t>Segala sesuatu yang dapat dari syariat akan tetapi tidak ada ketentuan/batasan baik dari syariat itu sendiri maupun dari segi bahasanya, maka ketentuan tersebut dikembalikan kepada ‘urf (kebiasan/adat)”</w:t>
      </w:r>
      <w:r w:rsidRPr="00CE696F">
        <w:rPr>
          <w:rFonts w:ascii="Bookman Old Style" w:hAnsi="Bookman Old Style" w:cstheme="majorBidi"/>
        </w:rPr>
        <w:t xml:space="preserve">. </w:t>
      </w:r>
      <w:r w:rsidR="00710070">
        <w:rPr>
          <w:rFonts w:ascii="Bookman Old Style" w:hAnsi="Bookman Old Style" w:cstheme="majorBidi"/>
        </w:rPr>
        <w:fldChar w:fldCharType="begin" w:fldLock="1"/>
      </w:r>
      <w:r w:rsidR="00412FF8">
        <w:rPr>
          <w:rFonts w:ascii="Bookman Old Style" w:hAnsi="Bookman Old Style" w:cstheme="majorBidi"/>
        </w:rPr>
        <w:instrText>ADDIN CSL_CITATION {"citationItems":[{"id":"ITEM-1","itemData":{"author":[{"dropping-particle":"","family":"Al-Suyuthi","given":"","non-dropping-particle":"","parse-names":false,"suffix":""}],"id":"ITEM-1","issued":{"date-parts":[["1990"]]},"number-of-pages":"98","publisher":"Dar al-Kutub al-‘Ilmiyyah","publisher-place":"Beirut","title":"al-Asybâh wa al-Nadzâir","type":"book"},"uris":["http://www.mendeley.com/documents/?uuid=008f656c-ff59-4665-b343-ddde60e76b25"]}],"mendeley":{"formattedCitation":"(Al-Suyuthi, 1990)","plainTextFormattedCitation":"(Al-Suyuthi, 1990)","previouslyFormattedCitation":"(Al-Suyuthi, 1990)"},"properties":{"noteIndex":0},"schema":"https://github.com/citation-style-language/schema/raw/master/csl-citation.json"}</w:instrText>
      </w:r>
      <w:r w:rsidR="00710070">
        <w:rPr>
          <w:rFonts w:ascii="Bookman Old Style" w:hAnsi="Bookman Old Style" w:cstheme="majorBidi"/>
        </w:rPr>
        <w:fldChar w:fldCharType="separate"/>
      </w:r>
      <w:r w:rsidR="00710070" w:rsidRPr="00710070">
        <w:rPr>
          <w:rFonts w:ascii="Bookman Old Style" w:hAnsi="Bookman Old Style" w:cstheme="majorBidi"/>
          <w:noProof/>
        </w:rPr>
        <w:t>(Al-Suyuthi, 1990)</w:t>
      </w:r>
      <w:r w:rsidR="00710070">
        <w:rPr>
          <w:rFonts w:ascii="Bookman Old Style" w:hAnsi="Bookman Old Style" w:cstheme="majorBidi"/>
        </w:rPr>
        <w:fldChar w:fldCharType="end"/>
      </w:r>
    </w:p>
    <w:p w14:paraId="55BC5515" w14:textId="2382726D" w:rsidR="007176B2" w:rsidRPr="00CE696F" w:rsidRDefault="007176B2" w:rsidP="00CE696F">
      <w:pPr>
        <w:spacing w:after="0" w:line="240" w:lineRule="auto"/>
        <w:ind w:firstLine="720"/>
        <w:jc w:val="both"/>
        <w:rPr>
          <w:rFonts w:ascii="Bookman Old Style" w:hAnsi="Bookman Old Style" w:cstheme="majorBidi"/>
        </w:rPr>
      </w:pPr>
      <w:r w:rsidRPr="00CE696F">
        <w:rPr>
          <w:rFonts w:ascii="Bookman Old Style" w:hAnsi="Bookman Old Style" w:cstheme="majorBidi"/>
        </w:rPr>
        <w:t xml:space="preserve">Dalam kajian hukum Islam, kesalahan dalam perbuatan melawan hukum tidak memandang apakah disenaga atau tidak, bahkan ketika kesalahan itu dilakukan oleh mereka yang sudah cukup umur ataupun belum cukup umur, maka yang bersangkutan tetap harus bertanggung jawab mengganti rugi, kecuali mazhab Malikiyyah yang menyatakan bahwa anak kecil yang belum </w:t>
      </w:r>
      <w:r w:rsidRPr="00CE696F">
        <w:rPr>
          <w:rFonts w:ascii="Bookman Old Style" w:hAnsi="Bookman Old Style" w:cstheme="majorBidi"/>
          <w:i/>
          <w:iCs/>
        </w:rPr>
        <w:t xml:space="preserve">mumayyiz </w:t>
      </w:r>
      <w:r w:rsidRPr="00CE696F">
        <w:rPr>
          <w:rFonts w:ascii="Bookman Old Style" w:hAnsi="Bookman Old Style" w:cstheme="majorBidi"/>
        </w:rPr>
        <w:t>tidak wajib memberikan ganti rugi ketika merusak/menghilangkan barang orang lain.</w:t>
      </w:r>
      <w:r w:rsidR="00412FF8">
        <w:rPr>
          <w:rFonts w:ascii="Bookman Old Style" w:hAnsi="Bookman Old Style" w:cstheme="majorBidi"/>
        </w:rPr>
        <w:fldChar w:fldCharType="begin" w:fldLock="1"/>
      </w:r>
      <w:r w:rsidR="008060EB">
        <w:rPr>
          <w:rFonts w:ascii="Bookman Old Style" w:hAnsi="Bookman Old Style" w:cstheme="majorBidi"/>
        </w:rPr>
        <w:instrText>ADDIN CSL_CITATION {"citationItems":[{"id":"ITEM-1","itemData":{"author":[{"dropping-particle":"","family":"Wahbah al-Zuhaili","given":"","non-dropping-particle":"","parse-names":false,"suffix":""}],"id":"ITEM-1","issued":{"date-parts":[["2012"]]},"number-of-pages":"667","publisher":"Dar al-Fikr","publisher-place":"Beirut","title":"Mausû’ah al-fiqh al-Islâmî wa al-Qadhayâ al-Mu’âshirah","type":"book"},"uris":["http://www.mendeley.com/documents/?uuid=0622ae50-7510-4675-a55f-1037d83b4eda"]}],"mendeley":{"formattedCitation":"(Wahbah al-Zuhaili, 2012a)","plainTextFormattedCitation":"(Wahbah al-Zuhaili, 2012a)","previouslyFormattedCitation":"(Wahbah al-Zuhaili, 2012a)"},"properties":{"noteIndex":0},"schema":"https://github.com/citation-style-language/schema/raw/master/csl-citation.json"}</w:instrText>
      </w:r>
      <w:r w:rsidR="00412FF8">
        <w:rPr>
          <w:rFonts w:ascii="Bookman Old Style" w:hAnsi="Bookman Old Style" w:cstheme="majorBidi"/>
        </w:rPr>
        <w:fldChar w:fldCharType="separate"/>
      </w:r>
      <w:r w:rsidR="00B95F8E" w:rsidRPr="00B95F8E">
        <w:rPr>
          <w:rFonts w:ascii="Bookman Old Style" w:hAnsi="Bookman Old Style" w:cstheme="majorBidi"/>
          <w:noProof/>
        </w:rPr>
        <w:t>(Wahbah al-Zuhaili, 2012a)</w:t>
      </w:r>
      <w:r w:rsidR="00412FF8">
        <w:rPr>
          <w:rFonts w:ascii="Bookman Old Style" w:hAnsi="Bookman Old Style" w:cstheme="majorBidi"/>
        </w:rPr>
        <w:fldChar w:fldCharType="end"/>
      </w:r>
    </w:p>
    <w:p w14:paraId="3518E21E" w14:textId="77777777" w:rsidR="007176B2" w:rsidRPr="00CE696F" w:rsidRDefault="007176B2" w:rsidP="00CE696F">
      <w:pPr>
        <w:spacing w:after="0" w:line="240" w:lineRule="auto"/>
        <w:ind w:firstLine="720"/>
        <w:jc w:val="both"/>
        <w:rPr>
          <w:rFonts w:ascii="Bookman Old Style" w:hAnsi="Bookman Old Style" w:cstheme="majorBidi"/>
          <w:rtl/>
        </w:rPr>
      </w:pPr>
      <w:r w:rsidRPr="00CE696F">
        <w:rPr>
          <w:rFonts w:ascii="Bookman Old Style" w:hAnsi="Bookman Old Style" w:cstheme="majorBidi"/>
        </w:rPr>
        <w:t xml:space="preserve">Pertanggungjawaban anak yang belum cukup umur dapat dilihat misalnya dalam </w:t>
      </w:r>
      <w:r w:rsidRPr="00CE696F">
        <w:rPr>
          <w:rFonts w:ascii="Bookman Old Style" w:hAnsi="Bookman Old Style" w:cstheme="majorBidi"/>
          <w:i/>
          <w:iCs/>
        </w:rPr>
        <w:t>Majallah al-A</w:t>
      </w:r>
      <w:r w:rsidRPr="00CE696F">
        <w:rPr>
          <w:rFonts w:ascii="Bookman Old Style" w:hAnsi="Bookman Old Style" w:cstheme="majorBidi"/>
          <w:i/>
          <w:iCs/>
          <w:u w:val="single"/>
        </w:rPr>
        <w:t>h</w:t>
      </w:r>
      <w:r w:rsidRPr="00CE696F">
        <w:rPr>
          <w:rFonts w:ascii="Bookman Old Style" w:hAnsi="Bookman Old Style" w:cstheme="majorBidi"/>
          <w:i/>
          <w:iCs/>
        </w:rPr>
        <w:t xml:space="preserve">kâm al-‘Adliyyah </w:t>
      </w:r>
      <w:r w:rsidRPr="00CE696F">
        <w:rPr>
          <w:rFonts w:ascii="Bookman Old Style" w:hAnsi="Bookman Old Style" w:cstheme="majorBidi"/>
        </w:rPr>
        <w:t>Pasal 916 yang menyatakan:</w:t>
      </w:r>
    </w:p>
    <w:p w14:paraId="16A76A6C" w14:textId="6542C2F4" w:rsidR="007176B2" w:rsidRPr="00CE696F" w:rsidRDefault="007176B2" w:rsidP="007176B2">
      <w:pPr>
        <w:autoSpaceDE w:val="0"/>
        <w:autoSpaceDN w:val="0"/>
        <w:bidi/>
        <w:adjustRightInd w:val="0"/>
        <w:spacing w:after="0" w:line="240" w:lineRule="auto"/>
        <w:rPr>
          <w:rFonts w:ascii="Bookman Old Style" w:hAnsi="Bookman Old Style" w:cs="Traditional Arabic"/>
          <w:sz w:val="32"/>
          <w:szCs w:val="32"/>
        </w:rPr>
      </w:pPr>
      <w:r w:rsidRPr="00CE696F">
        <w:rPr>
          <w:rFonts w:ascii="Bookman Old Style" w:hAnsi="Bookman Old Style" w:cs="Traditional Arabic"/>
          <w:sz w:val="32"/>
          <w:szCs w:val="32"/>
          <w:rtl/>
        </w:rPr>
        <w:t>(مَادَّةُ 916) أَتْلَفَ صَبِيٌّ مَالَ غَيْرِهِ يَلْزَمُ الضَّمَانُ مِنْ مَالِهِ وَإِنْ لَمْ يَكُنْ لَهُ مَالٌ يُنْتَظَرُ إلَى حَالِ يُسْرٍ وَلَا يَضْمَنُ وَلِيُّهُ.</w:t>
      </w:r>
    </w:p>
    <w:p w14:paraId="2FAA7CB0" w14:textId="2BA155EF" w:rsidR="007176B2" w:rsidRPr="00CE696F" w:rsidRDefault="007176B2" w:rsidP="00CE696F">
      <w:pPr>
        <w:spacing w:after="0" w:line="240" w:lineRule="auto"/>
        <w:ind w:left="720"/>
        <w:jc w:val="both"/>
        <w:rPr>
          <w:rFonts w:ascii="Bookman Old Style" w:hAnsi="Bookman Old Style" w:cstheme="majorBidi"/>
        </w:rPr>
      </w:pPr>
      <w:r w:rsidRPr="00CE696F">
        <w:rPr>
          <w:rFonts w:ascii="Bookman Old Style" w:hAnsi="Bookman Old Style" w:cstheme="majorBidi"/>
        </w:rPr>
        <w:t>“</w:t>
      </w:r>
      <w:r w:rsidRPr="00CE696F">
        <w:rPr>
          <w:rFonts w:ascii="Bookman Old Style" w:hAnsi="Bookman Old Style" w:cstheme="majorBidi"/>
          <w:i/>
          <w:iCs/>
        </w:rPr>
        <w:t>Jika anak kecil merusak harta orang lain, maka diwajibkan mengganti dengan hartanya sendiri, dan jika dia tidak memiliki harta maka diberikan tenggang waktu hingga ia memiliki kelapangan harta, sedangkan walinya tidak mempunyai kewajiban untuk menggantinya</w:t>
      </w:r>
      <w:r w:rsidRPr="00CE696F">
        <w:rPr>
          <w:rFonts w:ascii="Bookman Old Style" w:hAnsi="Bookman Old Style" w:cstheme="majorBidi"/>
        </w:rPr>
        <w:t>”.</w:t>
      </w:r>
      <w:r w:rsidR="00412FF8">
        <w:rPr>
          <w:rFonts w:ascii="Bookman Old Style" w:hAnsi="Bookman Old Style" w:cstheme="majorBidi"/>
        </w:rPr>
        <w:fldChar w:fldCharType="begin" w:fldLock="1"/>
      </w:r>
      <w:r w:rsidR="004471FE">
        <w:rPr>
          <w:rFonts w:ascii="Bookman Old Style" w:hAnsi="Bookman Old Style" w:cstheme="majorBidi"/>
        </w:rPr>
        <w:instrText>ADDIN CSL_CITATION {"citationItems":[{"id":"ITEM-1","itemData":{"author":[{"dropping-particle":"","family":"Ali Haidar","given":"","non-dropping-particle":"","parse-names":false,"suffix":""}],"id":"ITEM-1","issued":{"date-parts":[["1991"]]},"number-of-pages":"604","publisher":"Dar al-Jail","publisher-place":"Beirut","title":"Daur al-Hukkâm fî Syarh Majallah al-Ahkâm","type":"book"},"uris":["http://www.mendeley.com/documents/?uuid=2de4b5df-c5b0-44a0-acf8-5f3b31a45c92"]}],"mendeley":{"formattedCitation":"(Ali Haidar, 1991)","plainTextFormattedCitation":"(Ali Haidar, 1991)","previouslyFormattedCitation":"(Ali Haidar, 1991)"},"properties":{"noteIndex":0},"schema":"https://github.com/citation-style-language/schema/raw/master/csl-citation.json"}</w:instrText>
      </w:r>
      <w:r w:rsidR="00412FF8">
        <w:rPr>
          <w:rFonts w:ascii="Bookman Old Style" w:hAnsi="Bookman Old Style" w:cstheme="majorBidi"/>
        </w:rPr>
        <w:fldChar w:fldCharType="separate"/>
      </w:r>
      <w:r w:rsidR="00412FF8" w:rsidRPr="00412FF8">
        <w:rPr>
          <w:rFonts w:ascii="Bookman Old Style" w:hAnsi="Bookman Old Style" w:cstheme="majorBidi"/>
          <w:noProof/>
        </w:rPr>
        <w:t>(Ali Haidar, 1991)</w:t>
      </w:r>
      <w:r w:rsidR="00412FF8">
        <w:rPr>
          <w:rFonts w:ascii="Bookman Old Style" w:hAnsi="Bookman Old Style" w:cstheme="majorBidi"/>
        </w:rPr>
        <w:fldChar w:fldCharType="end"/>
      </w:r>
      <w:r w:rsidRPr="00CE696F">
        <w:rPr>
          <w:rFonts w:ascii="Bookman Old Style" w:hAnsi="Bookman Old Style" w:cstheme="majorBidi"/>
        </w:rPr>
        <w:t xml:space="preserve"> </w:t>
      </w:r>
    </w:p>
    <w:p w14:paraId="3A7E4268" w14:textId="0305F18C" w:rsidR="007176B2" w:rsidRPr="00CE696F" w:rsidRDefault="007176B2" w:rsidP="00CE696F">
      <w:pPr>
        <w:spacing w:after="0" w:line="240" w:lineRule="auto"/>
        <w:ind w:firstLine="720"/>
        <w:jc w:val="both"/>
        <w:rPr>
          <w:rFonts w:ascii="Bookman Old Style" w:hAnsi="Bookman Old Style" w:cstheme="majorBidi"/>
        </w:rPr>
      </w:pPr>
      <w:r w:rsidRPr="00CE696F">
        <w:rPr>
          <w:rFonts w:ascii="Bookman Old Style" w:hAnsi="Bookman Old Style" w:cstheme="majorBidi"/>
        </w:rPr>
        <w:t xml:space="preserve">Demikian juga orang yang tertidur, misalnya ketika ia membolak-balikkan tubuhnya saat tidur, lalu perbuatan tersebut merusak barag milik </w:t>
      </w:r>
      <w:r w:rsidRPr="00CE696F">
        <w:rPr>
          <w:rFonts w:ascii="Bookman Old Style" w:hAnsi="Bookman Old Style" w:cstheme="majorBidi"/>
        </w:rPr>
        <w:lastRenderedPageBreak/>
        <w:t>orang lain yang dihimpitnya, maka ia dapat dituntut bertanggung jawab atas pengrusakan tersebutm dan dalam hal ini ia dipersamakan dengan orang yang terbangun.</w:t>
      </w:r>
      <w:r w:rsidR="004471FE">
        <w:rPr>
          <w:rFonts w:ascii="Bookman Old Style" w:hAnsi="Bookman Old Style" w:cstheme="majorBidi"/>
        </w:rPr>
        <w:fldChar w:fldCharType="begin" w:fldLock="1"/>
      </w:r>
      <w:r w:rsidR="004471FE">
        <w:rPr>
          <w:rFonts w:ascii="Bookman Old Style" w:hAnsi="Bookman Old Style" w:cstheme="majorBidi"/>
        </w:rPr>
        <w:instrText>ADDIN CSL_CITATION {"citationItems":[{"id":"ITEM-1","itemData":{"author":[{"dropping-particle":"","family":"Amran Suadi","given":"","non-dropping-particle":"","parse-names":false,"suffix":""}],"id":"ITEM-1","issued":{"date-parts":[["2020"]]},"number-of-pages":"113","publisher":"PT RajaGrafindo Persada","publisher-place":"Jakarta","title":"Wanprestasi Dan Perbuatan Melawan Hukum: Dalam Penyelesaian Sengketa Ekonomi Syariah","type":"book"},"uris":["http://www.mendeley.com/documents/?uuid=8e34e13a-19a6-450f-bd7b-70d72f8cbdc6"]}],"mendeley":{"formattedCitation":"(Amran Suadi, 2020)","plainTextFormattedCitation":"(Amran Suadi, 2020)","previouslyFormattedCitation":"(Amran Suadi, 2020)"},"properties":{"noteIndex":0},"schema":"https://github.com/citation-style-language/schema/raw/master/csl-citation.json"}</w:instrText>
      </w:r>
      <w:r w:rsidR="004471FE">
        <w:rPr>
          <w:rFonts w:ascii="Bookman Old Style" w:hAnsi="Bookman Old Style" w:cstheme="majorBidi"/>
        </w:rPr>
        <w:fldChar w:fldCharType="separate"/>
      </w:r>
      <w:r w:rsidR="004471FE" w:rsidRPr="004471FE">
        <w:rPr>
          <w:rFonts w:ascii="Bookman Old Style" w:hAnsi="Bookman Old Style" w:cstheme="majorBidi"/>
          <w:noProof/>
        </w:rPr>
        <w:t>(Amran Suadi, 2020)</w:t>
      </w:r>
      <w:r w:rsidR="004471FE">
        <w:rPr>
          <w:rFonts w:ascii="Bookman Old Style" w:hAnsi="Bookman Old Style" w:cstheme="majorBidi"/>
        </w:rPr>
        <w:fldChar w:fldCharType="end"/>
      </w:r>
    </w:p>
    <w:p w14:paraId="18C65ACA" w14:textId="28259CE0" w:rsidR="007176B2" w:rsidRPr="00CE696F" w:rsidRDefault="007176B2" w:rsidP="00CE696F">
      <w:pPr>
        <w:spacing w:after="0" w:line="240" w:lineRule="auto"/>
        <w:ind w:firstLine="720"/>
        <w:jc w:val="both"/>
        <w:rPr>
          <w:rFonts w:ascii="Bookman Old Style" w:hAnsi="Bookman Old Style" w:cstheme="majorBidi"/>
        </w:rPr>
      </w:pPr>
      <w:r w:rsidRPr="00CE696F">
        <w:rPr>
          <w:rFonts w:ascii="Bookman Old Style" w:hAnsi="Bookman Old Style" w:cstheme="majorBidi"/>
        </w:rPr>
        <w:t>Dalam menentukan kadar kesalahan atas perbuatan seseorang, hukum Islam menggunakan teori motivasi (niat). Suatu perbuatan yang telah dilakukan, mempunyai akibat hukum yang berbeda, manakala motivasi yang mendasarinya berbeda. Ibn Qayyim al-Jauziyyah sebagaimana dikutip oleh Imron Rosyadi,</w:t>
      </w:r>
      <w:r w:rsidR="004471FE">
        <w:rPr>
          <w:rFonts w:ascii="Bookman Old Style" w:hAnsi="Bookman Old Style" w:cstheme="majorBidi"/>
        </w:rPr>
        <w:fldChar w:fldCharType="begin" w:fldLock="1"/>
      </w:r>
      <w:r w:rsidR="008F4CE1">
        <w:rPr>
          <w:rFonts w:ascii="Bookman Old Style" w:hAnsi="Bookman Old Style" w:cstheme="majorBidi"/>
        </w:rPr>
        <w:instrText>ADDIN CSL_CITATION {"citationItems":[{"id":"ITEM-1","itemData":{"author":[{"dropping-particle":"","family":"Imron Rosyadi","given":"","non-dropping-particle":"","parse-names":false,"suffix":""}],"id":"ITEM-1","issued":{"date-parts":[["2019"]]},"number-of-pages":"162","publisher":"Kencana Prenada Media Group","publisher-place":"Jakarta","title":"Akad Nominat Syariah: Implementasi dan Penyelesaian Sengketa","type":"book"},"uris":["http://www.mendeley.com/documents/?uuid=b5506990-1584-4b25-bdf3-7d8382617714"]}],"mendeley":{"formattedCitation":"(Imron Rosyadi, 2019)","plainTextFormattedCitation":"(Imron Rosyadi, 2019)","previouslyFormattedCitation":"(Imron Rosyadi, 2019)"},"properties":{"noteIndex":0},"schema":"https://github.com/citation-style-language/schema/raw/master/csl-citation.json"}</w:instrText>
      </w:r>
      <w:r w:rsidR="004471FE">
        <w:rPr>
          <w:rFonts w:ascii="Bookman Old Style" w:hAnsi="Bookman Old Style" w:cstheme="majorBidi"/>
        </w:rPr>
        <w:fldChar w:fldCharType="separate"/>
      </w:r>
      <w:r w:rsidR="004471FE" w:rsidRPr="004471FE">
        <w:rPr>
          <w:rFonts w:ascii="Bookman Old Style" w:hAnsi="Bookman Old Style" w:cstheme="majorBidi"/>
          <w:noProof/>
        </w:rPr>
        <w:t>(Imron Rosyadi, 2019)</w:t>
      </w:r>
      <w:r w:rsidR="004471FE">
        <w:rPr>
          <w:rFonts w:ascii="Bookman Old Style" w:hAnsi="Bookman Old Style" w:cstheme="majorBidi"/>
        </w:rPr>
        <w:fldChar w:fldCharType="end"/>
      </w:r>
      <w:r w:rsidRPr="00CE696F">
        <w:rPr>
          <w:rFonts w:ascii="Bookman Old Style" w:hAnsi="Bookman Old Style" w:cstheme="majorBidi"/>
        </w:rPr>
        <w:t xml:space="preserve"> mengatakan bahwa suatu perbuatan, menjadi boleh atau tidak boleh tergantung motivasi yang mendasarinya. Motivasi sebagai dasar menentukan berat rigannya kesalahan, didasarkan peada keumuman hadis yang menyatakan bahwa sesungguhnya setiap perbuatan diukur dalam motivasinya (</w:t>
      </w:r>
      <w:r w:rsidRPr="00CE696F">
        <w:rPr>
          <w:rFonts w:ascii="Bookman Old Style" w:hAnsi="Bookman Old Style" w:cstheme="majorBidi"/>
          <w:i/>
          <w:iCs/>
        </w:rPr>
        <w:t>innamâ al-‘amâl bi al-niyât</w:t>
      </w:r>
      <w:r w:rsidRPr="00CE696F">
        <w:rPr>
          <w:rFonts w:ascii="Bookman Old Style" w:hAnsi="Bookman Old Style" w:cstheme="majorBidi"/>
        </w:rPr>
        <w:t>). Berdasarkan hadis tersebut, dikembangkan kaidah fikih yang menyatakan bahwa segala sesuatu didasarkan pada motivasinya (</w:t>
      </w:r>
      <w:r w:rsidRPr="00CE696F">
        <w:rPr>
          <w:rFonts w:ascii="Bookman Old Style" w:hAnsi="Bookman Old Style" w:cstheme="majorBidi"/>
          <w:i/>
          <w:iCs/>
        </w:rPr>
        <w:t>al-umûr bimaqâshidiha</w:t>
      </w:r>
      <w:r w:rsidRPr="00CE696F">
        <w:rPr>
          <w:rFonts w:ascii="Bookman Old Style" w:hAnsi="Bookman Old Style" w:cstheme="majorBidi"/>
        </w:rPr>
        <w:t>). Implementasi teori motivasi dilakukan di ranah pidana, sehingga pelaku pembunuhan dengan sengaja, semi sengaja, dan karena kekeliruan melahirkan konsekuensi hukum yang berbeda. Adapun di ranah perdata penentuan ganti rugi tidak digunakan teori motivasi (</w:t>
      </w:r>
      <w:r w:rsidRPr="00CE696F">
        <w:rPr>
          <w:rFonts w:ascii="Bookman Old Style" w:hAnsi="Bookman Old Style" w:cstheme="majorBidi"/>
          <w:i/>
          <w:iCs/>
        </w:rPr>
        <w:t>al-qashdu wa al-niat</w:t>
      </w:r>
      <w:r w:rsidRPr="00CE696F">
        <w:rPr>
          <w:rFonts w:ascii="Bookman Old Style" w:hAnsi="Bookman Old Style" w:cstheme="majorBidi"/>
        </w:rPr>
        <w:t>), namun lebih menekankan adanya perbuatan (</w:t>
      </w:r>
      <w:r w:rsidRPr="00CE696F">
        <w:rPr>
          <w:rFonts w:ascii="Bookman Old Style" w:hAnsi="Bookman Old Style" w:cstheme="majorBidi"/>
          <w:i/>
          <w:iCs/>
        </w:rPr>
        <w:t>al-fi’lu</w:t>
      </w:r>
      <w:r w:rsidRPr="00CE696F">
        <w:rPr>
          <w:rFonts w:ascii="Bookman Old Style" w:hAnsi="Bookman Old Style" w:cstheme="majorBidi"/>
        </w:rPr>
        <w:t>) dan kerugian (</w:t>
      </w:r>
      <w:r w:rsidRPr="00CE696F">
        <w:rPr>
          <w:rFonts w:ascii="Bookman Old Style" w:hAnsi="Bookman Old Style" w:cstheme="majorBidi"/>
          <w:i/>
          <w:iCs/>
        </w:rPr>
        <w:t>al-dharar</w:t>
      </w:r>
      <w:r w:rsidRPr="00CE696F">
        <w:rPr>
          <w:rFonts w:ascii="Bookman Old Style" w:hAnsi="Bookman Old Style" w:cstheme="majorBidi"/>
        </w:rPr>
        <w:t>). Perbuatan tersebut dilakukan oleh orang yang memiliki kecakapan merima hak (</w:t>
      </w:r>
      <w:r w:rsidRPr="00CE696F">
        <w:rPr>
          <w:rFonts w:ascii="Bookman Old Style" w:hAnsi="Bookman Old Style" w:cstheme="majorBidi"/>
          <w:i/>
          <w:iCs/>
        </w:rPr>
        <w:t>ahliyyah wujud</w:t>
      </w:r>
      <w:r w:rsidRPr="00CE696F">
        <w:rPr>
          <w:rFonts w:ascii="Bookman Old Style" w:hAnsi="Bookman Old Style" w:cstheme="majorBidi"/>
        </w:rPr>
        <w:t>), sehingga manakala pelakunya masih anak-anak, maka ganti rugi dibebankan pada harta anak tersebut atau harta walinya.</w:t>
      </w:r>
    </w:p>
    <w:p w14:paraId="0C95A40B" w14:textId="77777777" w:rsidR="007176B2" w:rsidRPr="00CE696F" w:rsidRDefault="007176B2" w:rsidP="00CE696F">
      <w:pPr>
        <w:pStyle w:val="ListParagraph"/>
        <w:numPr>
          <w:ilvl w:val="0"/>
          <w:numId w:val="2"/>
        </w:numPr>
        <w:spacing w:after="0" w:line="240" w:lineRule="auto"/>
        <w:jc w:val="both"/>
        <w:rPr>
          <w:rFonts w:ascii="Bookman Old Style" w:hAnsi="Bookman Old Style" w:cstheme="majorBidi"/>
          <w:b/>
          <w:bCs/>
        </w:rPr>
      </w:pPr>
      <w:r w:rsidRPr="00CE696F">
        <w:rPr>
          <w:rFonts w:ascii="Bookman Old Style" w:hAnsi="Bookman Old Style" w:cstheme="majorBidi"/>
          <w:b/>
          <w:bCs/>
        </w:rPr>
        <w:t>Unsur Adanya Kerugian</w:t>
      </w:r>
    </w:p>
    <w:p w14:paraId="63C2F75C" w14:textId="43DF8DFD" w:rsidR="007176B2" w:rsidRPr="00CE696F" w:rsidRDefault="007176B2" w:rsidP="00CE696F">
      <w:pPr>
        <w:pStyle w:val="ListParagraph"/>
        <w:spacing w:after="0" w:line="240" w:lineRule="auto"/>
        <w:ind w:left="0" w:firstLine="720"/>
        <w:jc w:val="both"/>
        <w:rPr>
          <w:rFonts w:ascii="Bookman Old Style" w:hAnsi="Bookman Old Style" w:cstheme="majorBidi"/>
        </w:rPr>
      </w:pPr>
      <w:r w:rsidRPr="00CE696F">
        <w:rPr>
          <w:rFonts w:ascii="Bookman Old Style" w:hAnsi="Bookman Old Style" w:cstheme="majorBidi"/>
        </w:rPr>
        <w:t>Kerugian di sini mengharuskan lahirnya kausalitas perbuatan melawan hukum, sehingga tidak semua kerugian dapat dituntut pertanggungjawaban berdasarkan perbuatan melawan hukum. Dengan kata lain, perbuatan melawan hukum harus mengakibatkan kerugian pada orang lain, yang harus dibuktikan hubungan kausalitasnta. menurut al-Qurafi salah seorang ulama bermazhab Maliki berpendapat bahwa tidak semua perbuatan melawan hukum dapat dikenakan tuntutan ganti rugi. Menurut al-Qurafi bahwa terdapat syarat adanya hubungan kausalitas antara perbuatan dan kerugian (</w:t>
      </w:r>
      <w:r w:rsidRPr="00CE696F">
        <w:rPr>
          <w:rFonts w:ascii="Bookman Old Style" w:hAnsi="Bookman Old Style" w:cstheme="majorBidi"/>
          <w:i/>
          <w:iCs/>
        </w:rPr>
        <w:t>ak0tasabbub bi al-itlaf</w:t>
      </w:r>
      <w:r w:rsidRPr="00CE696F">
        <w:rPr>
          <w:rFonts w:ascii="Bookman Old Style" w:hAnsi="Bookman Old Style" w:cstheme="majorBidi"/>
        </w:rPr>
        <w:t>).</w:t>
      </w:r>
      <w:r w:rsidR="008F4CE1">
        <w:rPr>
          <w:rFonts w:ascii="Bookman Old Style" w:hAnsi="Bookman Old Style" w:cstheme="majorBidi"/>
        </w:rPr>
        <w:fldChar w:fldCharType="begin" w:fldLock="1"/>
      </w:r>
      <w:r w:rsidR="00174FF0">
        <w:rPr>
          <w:rFonts w:ascii="Bookman Old Style" w:hAnsi="Bookman Old Style" w:cstheme="majorBidi"/>
        </w:rPr>
        <w:instrText>ADDIN CSL_CITATION {"citationItems":[{"id":"ITEM-1","itemData":{"author":[{"dropping-particle":"","family":"Ahmad Ibn Idris al-Qurafi","given":"","non-dropping-particle":"","parse-names":false,"suffix":""}],"id":"ITEM-1","issued":{"date-parts":[["1998"]]},"number-of-pages":"250","publisher":"Dar al-Kutub al-‘Ilmiyyah","publisher-place":"Beirut","title":"al-Furûq fî Anwâr al-Burûq","type":"book"},"uris":["http://www.mendeley.com/documents/?uuid=0312aa78-92be-41ee-b987-f1ad80cc0063"]}],"mendeley":{"formattedCitation":"(Ahmad Ibn Idris al-Qurafi, 1998)","plainTextFormattedCitation":"(Ahmad Ibn Idris al-Qurafi, 1998)","previouslyFormattedCitation":"(Ahmad Ibn Idris al-Qurafi, 1998)"},"properties":{"noteIndex":0},"schema":"https://github.com/citation-style-language/schema/raw/master/csl-citation.json"}</w:instrText>
      </w:r>
      <w:r w:rsidR="008F4CE1">
        <w:rPr>
          <w:rFonts w:ascii="Bookman Old Style" w:hAnsi="Bookman Old Style" w:cstheme="majorBidi"/>
        </w:rPr>
        <w:fldChar w:fldCharType="separate"/>
      </w:r>
      <w:r w:rsidR="008F4CE1" w:rsidRPr="008F4CE1">
        <w:rPr>
          <w:rFonts w:ascii="Bookman Old Style" w:hAnsi="Bookman Old Style" w:cstheme="majorBidi"/>
          <w:noProof/>
        </w:rPr>
        <w:t>(Ahmad Ibn Idris al-Qurafi, 1998)</w:t>
      </w:r>
      <w:r w:rsidR="008F4CE1">
        <w:rPr>
          <w:rFonts w:ascii="Bookman Old Style" w:hAnsi="Bookman Old Style" w:cstheme="majorBidi"/>
        </w:rPr>
        <w:fldChar w:fldCharType="end"/>
      </w:r>
      <w:r w:rsidRPr="00CE696F">
        <w:rPr>
          <w:rFonts w:ascii="Bookman Old Style" w:hAnsi="Bookman Old Style" w:cstheme="majorBidi"/>
        </w:rPr>
        <w:t xml:space="preserve"> Perbuatan yang mewajibkan ganti rugi (</w:t>
      </w:r>
      <w:r w:rsidRPr="00CE696F">
        <w:rPr>
          <w:rFonts w:ascii="Bookman Old Style" w:hAnsi="Bookman Old Style" w:cstheme="majorBidi"/>
          <w:i/>
          <w:iCs/>
        </w:rPr>
        <w:t>ta’wid</w:t>
      </w:r>
      <w:r w:rsidRPr="00CE696F">
        <w:rPr>
          <w:rFonts w:ascii="Bookman Old Style" w:hAnsi="Bookman Old Style" w:cstheme="majorBidi"/>
        </w:rPr>
        <w:t xml:space="preserve">) benar-benar menimbulkan </w:t>
      </w:r>
      <w:r w:rsidRPr="00CE696F">
        <w:rPr>
          <w:rFonts w:ascii="Bookman Old Style" w:hAnsi="Bookman Old Style" w:cstheme="majorBidi"/>
          <w:i/>
          <w:iCs/>
        </w:rPr>
        <w:t xml:space="preserve">dharar </w:t>
      </w:r>
      <w:r w:rsidRPr="00CE696F">
        <w:rPr>
          <w:rFonts w:ascii="Bookman Old Style" w:hAnsi="Bookman Old Style" w:cstheme="majorBidi"/>
        </w:rPr>
        <w:t xml:space="preserve">((kerugian). Jika tidak menimbulkan kerugian, maka tidak ada </w:t>
      </w:r>
      <w:r w:rsidRPr="00CE696F">
        <w:rPr>
          <w:rFonts w:ascii="Bookman Old Style" w:hAnsi="Bookman Old Style" w:cstheme="majorBidi"/>
          <w:i/>
          <w:iCs/>
        </w:rPr>
        <w:t xml:space="preserve">dhamân </w:t>
      </w:r>
      <w:r w:rsidRPr="00CE696F">
        <w:rPr>
          <w:rFonts w:ascii="Bookman Old Style" w:hAnsi="Bookman Old Style" w:cstheme="majorBidi"/>
        </w:rPr>
        <w:t xml:space="preserve">atau </w:t>
      </w:r>
      <w:r w:rsidRPr="00CE696F">
        <w:rPr>
          <w:rFonts w:ascii="Bookman Old Style" w:hAnsi="Bookman Old Style" w:cstheme="majorBidi"/>
          <w:i/>
          <w:iCs/>
        </w:rPr>
        <w:t>ta’wîdh</w:t>
      </w:r>
      <w:r w:rsidRPr="00CE696F">
        <w:rPr>
          <w:rFonts w:ascii="Bookman Old Style" w:hAnsi="Bookman Old Style" w:cstheme="majorBidi"/>
        </w:rPr>
        <w:t xml:space="preserve">, karena secara faktual tidak ada </w:t>
      </w:r>
      <w:r w:rsidRPr="00CE696F">
        <w:rPr>
          <w:rFonts w:ascii="Bookman Old Style" w:hAnsi="Bookman Old Style" w:cstheme="majorBidi"/>
          <w:i/>
          <w:iCs/>
        </w:rPr>
        <w:t>dharar</w:t>
      </w:r>
      <w:r w:rsidRPr="00CE696F">
        <w:rPr>
          <w:rFonts w:ascii="Bookman Old Style" w:hAnsi="Bookman Old Style" w:cstheme="majorBidi"/>
        </w:rPr>
        <w:t xml:space="preserve"> yang harus digantirugikan. Itulah sebabnya jika seorang pengendara yang lali menabrak orang lain tetapi tidak menimbulkan kerusakan, tidak wajib memberikan ganti rugi (</w:t>
      </w:r>
      <w:r w:rsidRPr="00CE696F">
        <w:rPr>
          <w:rFonts w:ascii="Bookman Old Style" w:hAnsi="Bookman Old Style" w:cstheme="majorBidi"/>
          <w:i/>
          <w:iCs/>
        </w:rPr>
        <w:t>ta’wîdh</w:t>
      </w:r>
      <w:r w:rsidRPr="00CE696F">
        <w:rPr>
          <w:rFonts w:ascii="Bookman Old Style" w:hAnsi="Bookman Old Style" w:cstheme="majorBidi"/>
        </w:rPr>
        <w:t xml:space="preserve">). Namun demiian, terdapat suatu perbuatan dengan sendirinya mewajibkan </w:t>
      </w:r>
      <w:r w:rsidRPr="00CE696F">
        <w:rPr>
          <w:rFonts w:ascii="Bookman Old Style" w:hAnsi="Bookman Old Style" w:cstheme="majorBidi"/>
          <w:i/>
          <w:iCs/>
        </w:rPr>
        <w:t xml:space="preserve">ta’wîdh </w:t>
      </w:r>
      <w:r w:rsidRPr="00CE696F">
        <w:rPr>
          <w:rFonts w:ascii="Bookman Old Style" w:hAnsi="Bookman Old Style" w:cstheme="majorBidi"/>
        </w:rPr>
        <w:t xml:space="preserve">seperti </w:t>
      </w:r>
      <w:r w:rsidRPr="00CE696F">
        <w:rPr>
          <w:rFonts w:ascii="Bookman Old Style" w:hAnsi="Bookman Old Style" w:cstheme="majorBidi"/>
          <w:i/>
          <w:iCs/>
        </w:rPr>
        <w:t xml:space="preserve">al-gasbu </w:t>
      </w:r>
      <w:r w:rsidRPr="00CE696F">
        <w:rPr>
          <w:rFonts w:ascii="Bookman Old Style" w:hAnsi="Bookman Old Style" w:cstheme="majorBidi"/>
        </w:rPr>
        <w:t>(perampasan). Menurut mayoritas ulama, pelaku perampasan harus mengganti manfaat barang selama berada dalam penguasaannya walaupun tidak difungsikan. Pendapat ini berdasarkan asumsu bahwa kerugian selalu terjadi pada kasus-kasus perampasan.</w:t>
      </w:r>
      <w:r w:rsidR="00174FF0">
        <w:rPr>
          <w:rFonts w:ascii="Bookman Old Style" w:hAnsi="Bookman Old Style" w:cstheme="majorBidi"/>
        </w:rPr>
        <w:fldChar w:fldCharType="begin" w:fldLock="1"/>
      </w:r>
      <w:r w:rsidR="00174FF0">
        <w:rPr>
          <w:rFonts w:ascii="Bookman Old Style" w:hAnsi="Bookman Old Style" w:cstheme="majorBidi"/>
        </w:rPr>
        <w:instrText>ADDIN CSL_CITATION {"citationItems":[{"id":"ITEM-1","itemData":{"author":[{"dropping-particle":"","family":"Imron Rosyadi","given":"","non-dropping-particle":"","parse-names":false,"suffix":""}],"id":"ITEM-1","issued":{"date-parts":[["2019"]]},"number-of-pages":"162","publisher":"Kencana Prenada Media Group","publisher-place":"Jakarta","title":"Akad Nominat Syariah: Implementasi dan Penyelesaian Sengketa","type":"book"},"uris":["http://www.mendeley.com/documents/?uuid=b5506990-1584-4b25-bdf3-7d8382617714"]}],"mendeley":{"formattedCitation":"(Imron Rosyadi, 2019)","plainTextFormattedCitation":"(Imron Rosyadi, 2019)","previouslyFormattedCitation":"(Imron Rosyadi, 2019)"},"properties":{"noteIndex":0},"schema":"https://github.com/citation-style-language/schema/raw/master/csl-citation.json"}</w:instrText>
      </w:r>
      <w:r w:rsidR="00174FF0">
        <w:rPr>
          <w:rFonts w:ascii="Bookman Old Style" w:hAnsi="Bookman Old Style" w:cstheme="majorBidi"/>
        </w:rPr>
        <w:fldChar w:fldCharType="separate"/>
      </w:r>
      <w:r w:rsidR="00174FF0" w:rsidRPr="00174FF0">
        <w:rPr>
          <w:rFonts w:ascii="Bookman Old Style" w:hAnsi="Bookman Old Style" w:cstheme="majorBidi"/>
          <w:noProof/>
        </w:rPr>
        <w:t>(Imron Rosyadi, 2019)</w:t>
      </w:r>
      <w:r w:rsidR="00174FF0">
        <w:rPr>
          <w:rFonts w:ascii="Bookman Old Style" w:hAnsi="Bookman Old Style" w:cstheme="majorBidi"/>
        </w:rPr>
        <w:fldChar w:fldCharType="end"/>
      </w:r>
    </w:p>
    <w:p w14:paraId="552F29AC" w14:textId="4ACF685E" w:rsidR="007176B2" w:rsidRPr="005B05CD" w:rsidRDefault="007176B2" w:rsidP="005B05CD">
      <w:pPr>
        <w:pStyle w:val="ListParagraph"/>
        <w:spacing w:after="0" w:line="240" w:lineRule="auto"/>
        <w:ind w:left="0" w:firstLine="720"/>
        <w:jc w:val="both"/>
        <w:rPr>
          <w:rFonts w:ascii="Bookman Old Style" w:hAnsi="Bookman Old Style" w:cstheme="majorBidi"/>
        </w:rPr>
      </w:pPr>
      <w:r w:rsidRPr="00CE696F">
        <w:rPr>
          <w:rFonts w:ascii="Bookman Old Style" w:hAnsi="Bookman Old Style" w:cstheme="majorBidi"/>
        </w:rPr>
        <w:t xml:space="preserve">Sebagaimana wanprestasi, adanya kerugian pada dasarnya merupakan inti dari pembahasan tanggung jawab ganti rugi. Karena meskipun ada kesalahan, jika tidak ada kerugian, maka tidak ada hal yang harus diganti. Dalam konteks perbuatan melawan hukum, </w:t>
      </w:r>
      <w:r w:rsidRPr="00CE696F">
        <w:rPr>
          <w:rFonts w:ascii="Bookman Old Style" w:hAnsi="Bookman Old Style" w:cstheme="majorBidi"/>
          <w:i/>
          <w:iCs/>
        </w:rPr>
        <w:t xml:space="preserve">dharar </w:t>
      </w:r>
      <w:r w:rsidRPr="00CE696F">
        <w:rPr>
          <w:rFonts w:ascii="Bookman Old Style" w:hAnsi="Bookman Old Style" w:cstheme="majorBidi"/>
        </w:rPr>
        <w:t>dalam perspektif hukum Islam dapat dibagi ke dalam beberapa jenis, tergantung dari sudut pandangnya. Amran Sadi menginformasikan mengenai pembagian kerugaian dalam perbuatan melawan hukum sebagai berikut:</w:t>
      </w:r>
      <w:r w:rsidR="00174FF0">
        <w:rPr>
          <w:rFonts w:ascii="Bookman Old Style" w:hAnsi="Bookman Old Style" w:cstheme="majorBidi"/>
        </w:rPr>
        <w:fldChar w:fldCharType="begin" w:fldLock="1"/>
      </w:r>
      <w:r w:rsidR="00174FF0">
        <w:rPr>
          <w:rFonts w:ascii="Bookman Old Style" w:hAnsi="Bookman Old Style" w:cstheme="majorBidi"/>
        </w:rPr>
        <w:instrText>ADDIN CSL_CITATION {"citationItems":[{"id":"ITEM-1","itemData":{"author":[{"dropping-particle":"","family":"Amran Suadi","given":"","non-dropping-particle":"","parse-names":false,"suffix":""}],"id":"ITEM-1","issued":{"date-parts":[["2020"]]},"number-of-pages":"113","publisher":"PT RajaGrafindo Persada","publisher-place":"Jakarta","title":"Wanprestasi Dan Perbuatan Melawan Hukum: Dalam Penyelesaian Sengketa Ekonomi Syariah","type":"book"},"uris":["http://www.mendeley.com/documents/?uuid=8e34e13a-19a6-450f-bd7b-70d72f8cbdc6"]}],"mendeley":{"formattedCitation":"(Amran Suadi, 2020)","plainTextFormattedCitation":"(Amran Suadi, 2020)","previouslyFormattedCitation":"(Amran Suadi, 2020)"},"properties":{"noteIndex":0},"schema":"https://github.com/citation-style-language/schema/raw/master/csl-citation.json"}</w:instrText>
      </w:r>
      <w:r w:rsidR="00174FF0">
        <w:rPr>
          <w:rFonts w:ascii="Bookman Old Style" w:hAnsi="Bookman Old Style" w:cstheme="majorBidi"/>
        </w:rPr>
        <w:fldChar w:fldCharType="separate"/>
      </w:r>
      <w:r w:rsidR="00174FF0" w:rsidRPr="00174FF0">
        <w:rPr>
          <w:rFonts w:ascii="Bookman Old Style" w:hAnsi="Bookman Old Style" w:cstheme="majorBidi"/>
          <w:noProof/>
        </w:rPr>
        <w:t>(Amran Suadi, 2020)</w:t>
      </w:r>
      <w:r w:rsidR="00174FF0">
        <w:rPr>
          <w:rFonts w:ascii="Bookman Old Style" w:hAnsi="Bookman Old Style" w:cstheme="majorBidi"/>
        </w:rPr>
        <w:fldChar w:fldCharType="end"/>
      </w:r>
      <w:r w:rsidR="005B05CD">
        <w:rPr>
          <w:rFonts w:ascii="Bookman Old Style" w:hAnsi="Bookman Old Style" w:cstheme="majorBidi"/>
        </w:rPr>
        <w:t xml:space="preserve"> </w:t>
      </w:r>
      <w:r w:rsidR="005B05CD">
        <w:rPr>
          <w:rFonts w:ascii="Bookman Old Style" w:hAnsi="Bookman Old Style" w:cstheme="majorBidi"/>
          <w:i/>
          <w:iCs/>
        </w:rPr>
        <w:t xml:space="preserve">pertama, </w:t>
      </w:r>
      <w:r w:rsidR="00C87F52">
        <w:rPr>
          <w:rFonts w:ascii="Bookman Old Style" w:hAnsi="Bookman Old Style" w:cstheme="majorBidi"/>
        </w:rPr>
        <w:t>k</w:t>
      </w:r>
      <w:r w:rsidRPr="005B05CD">
        <w:rPr>
          <w:rFonts w:ascii="Bookman Old Style" w:hAnsi="Bookman Old Style" w:cstheme="majorBidi"/>
        </w:rPr>
        <w:t xml:space="preserve">erugian bisa disebabkan dari aspek perkataan atau perbuatan. Kerugian yang disebbakan oleh perkataan seperti kesaksian setelah adanya keputusan hakim sedangkan harta korban tidak dapat </w:t>
      </w:r>
      <w:r w:rsidRPr="005B05CD">
        <w:rPr>
          <w:rFonts w:ascii="Bookman Old Style" w:hAnsi="Bookman Old Style" w:cstheme="majorBidi"/>
        </w:rPr>
        <w:lastRenderedPageBreak/>
        <w:t>kembali lagi dan dari segi perbuatan, misalnya kerugian yang terjadi karena merusak barang milik orang lain</w:t>
      </w:r>
      <w:r w:rsidR="005B05CD">
        <w:rPr>
          <w:rFonts w:ascii="Bookman Old Style" w:hAnsi="Bookman Old Style" w:cstheme="majorBidi"/>
        </w:rPr>
        <w:t xml:space="preserve">; </w:t>
      </w:r>
      <w:r w:rsidR="005B05CD">
        <w:rPr>
          <w:rFonts w:ascii="Bookman Old Style" w:hAnsi="Bookman Old Style" w:cstheme="majorBidi"/>
          <w:i/>
          <w:iCs/>
        </w:rPr>
        <w:t xml:space="preserve">kedua, </w:t>
      </w:r>
      <w:r w:rsidR="00C87F52">
        <w:rPr>
          <w:rFonts w:ascii="Bookman Old Style" w:hAnsi="Bookman Old Style" w:cstheme="majorBidi"/>
        </w:rPr>
        <w:t>k</w:t>
      </w:r>
      <w:r w:rsidRPr="005B05CD">
        <w:rPr>
          <w:rFonts w:ascii="Bookman Old Style" w:hAnsi="Bookman Old Style" w:cstheme="majorBidi"/>
        </w:rPr>
        <w:t>erugian dalam bentuk perbuatan, dapat dibagi menjadi perbuatan positif/melakukan sesuatu atau negatif/tidak melakukan sesuatu. Bentuk perbuatan positif seperti rusak barang orang, sedangkan yang negatif seperti membiarkan barang titipan diambil orang lain padahal mampu mencegahnya</w:t>
      </w:r>
      <w:r w:rsidR="005B05CD">
        <w:rPr>
          <w:rFonts w:ascii="Bookman Old Style" w:hAnsi="Bookman Old Style" w:cstheme="majorBidi"/>
        </w:rPr>
        <w:t xml:space="preserve">; </w:t>
      </w:r>
      <w:r w:rsidR="005B05CD">
        <w:rPr>
          <w:rFonts w:ascii="Bookman Old Style" w:hAnsi="Bookman Old Style" w:cstheme="majorBidi"/>
          <w:i/>
          <w:iCs/>
        </w:rPr>
        <w:t xml:space="preserve">ketiga, </w:t>
      </w:r>
      <w:r w:rsidR="00C87F52">
        <w:rPr>
          <w:rFonts w:ascii="Bookman Old Style" w:hAnsi="Bookman Old Style" w:cstheme="majorBidi"/>
        </w:rPr>
        <w:t>da</w:t>
      </w:r>
      <w:r w:rsidRPr="005B05CD">
        <w:rPr>
          <w:rFonts w:ascii="Bookman Old Style" w:hAnsi="Bookman Old Style" w:cstheme="majorBidi"/>
        </w:rPr>
        <w:t xml:space="preserve">ri segi waktunya, adanya </w:t>
      </w:r>
      <w:r w:rsidRPr="005B05CD">
        <w:rPr>
          <w:rFonts w:ascii="Bookman Old Style" w:hAnsi="Bookman Old Style" w:cstheme="majorBidi"/>
          <w:i/>
          <w:iCs/>
        </w:rPr>
        <w:t xml:space="preserve">dharar </w:t>
      </w:r>
      <w:r w:rsidRPr="005B05CD">
        <w:rPr>
          <w:rFonts w:ascii="Bookman Old Style" w:hAnsi="Bookman Old Style" w:cstheme="majorBidi"/>
        </w:rPr>
        <w:t xml:space="preserve">yang terjadi di waktu sekarang, seperti kerugian pada umumnya (merusak barang), dan </w:t>
      </w:r>
      <w:r w:rsidRPr="005B05CD">
        <w:rPr>
          <w:rFonts w:ascii="Bookman Old Style" w:hAnsi="Bookman Old Style" w:cstheme="majorBidi"/>
          <w:i/>
          <w:iCs/>
        </w:rPr>
        <w:t xml:space="preserve">dharar </w:t>
      </w:r>
      <w:r w:rsidRPr="005B05CD">
        <w:rPr>
          <w:rFonts w:ascii="Bookman Old Style" w:hAnsi="Bookman Old Style" w:cstheme="majorBidi"/>
        </w:rPr>
        <w:t>yang terjadi di masa depan, misalnya luka yang kemudian menyebabkan kematian</w:t>
      </w:r>
      <w:r w:rsidR="005B05CD">
        <w:rPr>
          <w:rFonts w:ascii="Bookman Old Style" w:hAnsi="Bookman Old Style" w:cstheme="majorBidi"/>
        </w:rPr>
        <w:t xml:space="preserve">; dan </w:t>
      </w:r>
      <w:r w:rsidR="005B05CD">
        <w:rPr>
          <w:rFonts w:ascii="Bookman Old Style" w:hAnsi="Bookman Old Style" w:cstheme="majorBidi"/>
          <w:i/>
          <w:iCs/>
        </w:rPr>
        <w:t xml:space="preserve">keempat, </w:t>
      </w:r>
      <w:r w:rsidR="005B05CD">
        <w:rPr>
          <w:rFonts w:ascii="Bookman Old Style" w:hAnsi="Bookman Old Style" w:cstheme="majorBidi"/>
        </w:rPr>
        <w:t>b</w:t>
      </w:r>
      <w:r w:rsidRPr="005B05CD">
        <w:rPr>
          <w:rFonts w:ascii="Bookman Old Style" w:hAnsi="Bookman Old Style" w:cstheme="majorBidi"/>
        </w:rPr>
        <w:t xml:space="preserve">erdasarkan jenis kerugiannya, kerugian dibagi menjadi 3 (tiga), yaitu kerugian karena kerusakan harta, kerugian kahilangan manfaat, dan kerugian kehilangan kesempatan. </w:t>
      </w:r>
    </w:p>
    <w:p w14:paraId="4F224A50" w14:textId="6D578FDD" w:rsidR="004E474B" w:rsidRDefault="007176B2" w:rsidP="009F37C1">
      <w:pPr>
        <w:spacing w:after="0" w:line="240" w:lineRule="auto"/>
        <w:ind w:firstLine="720"/>
        <w:jc w:val="both"/>
        <w:rPr>
          <w:rFonts w:ascii="Bookman Old Style" w:hAnsi="Bookman Old Style" w:cstheme="majorBidi"/>
        </w:rPr>
      </w:pPr>
      <w:r w:rsidRPr="00CE696F">
        <w:rPr>
          <w:rFonts w:ascii="Bookman Old Style" w:hAnsi="Bookman Old Style" w:cstheme="majorBidi"/>
        </w:rPr>
        <w:t>Selain pembagian di atas, lebih</w:t>
      </w:r>
      <w:r w:rsidR="00243C7A">
        <w:rPr>
          <w:rFonts w:ascii="Bookman Old Style" w:hAnsi="Bookman Old Style" w:cstheme="majorBidi"/>
        </w:rPr>
        <w:t xml:space="preserve"> lanjut</w:t>
      </w:r>
      <w:r w:rsidRPr="00CE696F">
        <w:rPr>
          <w:rFonts w:ascii="Bookman Old Style" w:hAnsi="Bookman Old Style" w:cstheme="majorBidi"/>
        </w:rPr>
        <w:t xml:space="preserve"> Amran Sadi memberikan informasi </w:t>
      </w:r>
      <w:r w:rsidR="00477425">
        <w:rPr>
          <w:rFonts w:ascii="Bookman Old Style" w:hAnsi="Bookman Old Style" w:cstheme="majorBidi"/>
        </w:rPr>
        <w:t>mengenai 4</w:t>
      </w:r>
      <w:r w:rsidRPr="00CE696F">
        <w:rPr>
          <w:rFonts w:ascii="Bookman Old Style" w:hAnsi="Bookman Old Style" w:cstheme="majorBidi"/>
        </w:rPr>
        <w:t xml:space="preserve"> </w:t>
      </w:r>
      <w:r w:rsidR="00477425">
        <w:rPr>
          <w:rFonts w:ascii="Bookman Old Style" w:hAnsi="Bookman Old Style" w:cstheme="majorBidi"/>
        </w:rPr>
        <w:t>(</w:t>
      </w:r>
      <w:r w:rsidRPr="00CE696F">
        <w:rPr>
          <w:rFonts w:ascii="Bookman Old Style" w:hAnsi="Bookman Old Style" w:cstheme="majorBidi"/>
        </w:rPr>
        <w:t>empat</w:t>
      </w:r>
      <w:r w:rsidR="00477425">
        <w:rPr>
          <w:rFonts w:ascii="Bookman Old Style" w:hAnsi="Bookman Old Style" w:cstheme="majorBidi"/>
        </w:rPr>
        <w:t>)</w:t>
      </w:r>
      <w:r w:rsidRPr="00CE696F">
        <w:rPr>
          <w:rFonts w:ascii="Bookman Old Style" w:hAnsi="Bookman Old Style" w:cstheme="majorBidi"/>
        </w:rPr>
        <w:t xml:space="preserve"> syarat yang harus dipenuhi agar kerugian tersebut dapat dijadikan alasan untuk meminta ganti rugi. Syarat tersebut adalah sebagai berikut:</w:t>
      </w:r>
      <w:r w:rsidR="00174FF0">
        <w:rPr>
          <w:rFonts w:ascii="Bookman Old Style" w:hAnsi="Bookman Old Style" w:cstheme="majorBidi"/>
        </w:rPr>
        <w:fldChar w:fldCharType="begin" w:fldLock="1"/>
      </w:r>
      <w:r w:rsidR="009A4724">
        <w:rPr>
          <w:rFonts w:ascii="Bookman Old Style" w:hAnsi="Bookman Old Style" w:cstheme="majorBidi"/>
        </w:rPr>
        <w:instrText>ADDIN CSL_CITATION {"citationItems":[{"id":"ITEM-1","itemData":{"author":[{"dropping-particle":"","family":"Amran Suadi","given":"","non-dropping-particle":"","parse-names":false,"suffix":""}],"id":"ITEM-1","issued":{"date-parts":[["2020"]]},"number-of-pages":"113","publisher":"PT RajaGrafindo Persada","publisher-place":"Jakarta","title":"Wanprestasi Dan Perbuatan Melawan Hukum: Dalam Penyelesaian Sengketa Ekonomi Syariah","type":"book"},"uris":["http://www.mendeley.com/documents/?uuid=8e34e13a-19a6-450f-bd7b-70d72f8cbdc6"]}],"mendeley":{"formattedCitation":"(Amran Suadi, 2020)","plainTextFormattedCitation":"(Amran Suadi, 2020)","previouslyFormattedCitation":"(Amran Suadi, 2020)"},"properties":{"noteIndex":0},"schema":"https://github.com/citation-style-language/schema/raw/master/csl-citation.json"}</w:instrText>
      </w:r>
      <w:r w:rsidR="00174FF0">
        <w:rPr>
          <w:rFonts w:ascii="Bookman Old Style" w:hAnsi="Bookman Old Style" w:cstheme="majorBidi"/>
        </w:rPr>
        <w:fldChar w:fldCharType="separate"/>
      </w:r>
      <w:r w:rsidR="00174FF0" w:rsidRPr="00174FF0">
        <w:rPr>
          <w:rFonts w:ascii="Bookman Old Style" w:hAnsi="Bookman Old Style" w:cstheme="majorBidi"/>
          <w:noProof/>
        </w:rPr>
        <w:t>(Amran Suadi, 2020)</w:t>
      </w:r>
      <w:r w:rsidR="00174FF0">
        <w:rPr>
          <w:rFonts w:ascii="Bookman Old Style" w:hAnsi="Bookman Old Style" w:cstheme="majorBidi"/>
        </w:rPr>
        <w:fldChar w:fldCharType="end"/>
      </w:r>
      <w:r w:rsidR="002C0CA3">
        <w:rPr>
          <w:rFonts w:ascii="Bookman Old Style" w:hAnsi="Bookman Old Style" w:cstheme="majorBidi"/>
        </w:rPr>
        <w:t xml:space="preserve"> (1) </w:t>
      </w:r>
      <w:r w:rsidRPr="002C0CA3">
        <w:rPr>
          <w:rFonts w:ascii="Bookman Old Style" w:hAnsi="Bookman Old Style" w:cstheme="majorBidi"/>
        </w:rPr>
        <w:t xml:space="preserve">Kerugian tersebut secara adat dan </w:t>
      </w:r>
      <w:r w:rsidR="003F77D2">
        <w:rPr>
          <w:rFonts w:ascii="Bookman Old Style" w:hAnsi="Bookman Old Style" w:cstheme="majorBidi"/>
        </w:rPr>
        <w:t>syariat</w:t>
      </w:r>
      <w:r w:rsidRPr="002C0CA3">
        <w:rPr>
          <w:rFonts w:ascii="Bookman Old Style" w:hAnsi="Bookman Old Style" w:cstheme="majorBidi"/>
        </w:rPr>
        <w:t xml:space="preserve"> dapat dinilai sebagai harta. Dengan demikian, maka nonharta seperti segenggam tanah tidak termasuk dalam kategori ini</w:t>
      </w:r>
      <w:r w:rsidR="002C0CA3">
        <w:rPr>
          <w:rFonts w:ascii="Bookman Old Style" w:hAnsi="Bookman Old Style" w:cstheme="majorBidi"/>
        </w:rPr>
        <w:t xml:space="preserve">’ (2) </w:t>
      </w:r>
      <w:r w:rsidRPr="002C0CA3">
        <w:rPr>
          <w:rFonts w:ascii="Bookman Old Style" w:hAnsi="Bookman Old Style" w:cstheme="majorBidi"/>
        </w:rPr>
        <w:t xml:space="preserve">Mempunyai nilai/harga dalam timbangan syariat, maka dalam hal ini brang-barang seperti </w:t>
      </w:r>
      <w:r w:rsidRPr="002C0CA3">
        <w:rPr>
          <w:rFonts w:ascii="Bookman Old Style" w:hAnsi="Bookman Old Style" w:cstheme="majorBidi"/>
          <w:i/>
          <w:iCs/>
        </w:rPr>
        <w:t xml:space="preserve">khamar </w:t>
      </w:r>
      <w:r w:rsidRPr="002C0CA3">
        <w:rPr>
          <w:rFonts w:ascii="Bookman Old Style" w:hAnsi="Bookman Old Style" w:cstheme="majorBidi"/>
        </w:rPr>
        <w:t>(miras) yang pada dasarnya tidak memiliki harga dalam hukum Islam tidak bisa dijadikan dasar adanya kerugian</w:t>
      </w:r>
      <w:r w:rsidR="002C0CA3">
        <w:rPr>
          <w:rFonts w:ascii="Bookman Old Style" w:hAnsi="Bookman Old Style" w:cstheme="majorBidi"/>
        </w:rPr>
        <w:t xml:space="preserve">; (3) </w:t>
      </w:r>
      <w:r w:rsidRPr="002C0CA3">
        <w:rPr>
          <w:rFonts w:ascii="Bookman Old Style" w:hAnsi="Bookman Old Style" w:cstheme="majorBidi"/>
        </w:rPr>
        <w:t>Dimiliki, maka tidak ada kerugian dalam hal yang tidak dimiliki siapa pun, misalnya air dari mata air</w:t>
      </w:r>
      <w:r w:rsidR="002C0CA3">
        <w:rPr>
          <w:rFonts w:ascii="Bookman Old Style" w:hAnsi="Bookman Old Style" w:cstheme="majorBidi"/>
        </w:rPr>
        <w:t xml:space="preserve">; (4) </w:t>
      </w:r>
      <w:r w:rsidRPr="002C0CA3">
        <w:rPr>
          <w:rFonts w:ascii="Bookman Old Style" w:hAnsi="Bookman Old Style" w:cstheme="majorBidi"/>
          <w:i/>
          <w:iCs/>
        </w:rPr>
        <w:t xml:space="preserve">Muhtaram </w:t>
      </w:r>
      <w:r w:rsidRPr="002C0CA3">
        <w:rPr>
          <w:rFonts w:ascii="Bookman Old Style" w:hAnsi="Bookman Old Style" w:cstheme="majorBidi"/>
        </w:rPr>
        <w:t>(terlindungi), maka tidak ada kerugian dalam barang yang dimiliki oleh musuh ketika perang.</w:t>
      </w:r>
    </w:p>
    <w:p w14:paraId="4F081F3D" w14:textId="77777777" w:rsidR="004E474B" w:rsidRPr="00915178" w:rsidRDefault="004E474B" w:rsidP="00915178">
      <w:pPr>
        <w:spacing w:after="0" w:line="240" w:lineRule="auto"/>
        <w:jc w:val="both"/>
        <w:rPr>
          <w:rFonts w:ascii="Bookman Old Style" w:hAnsi="Bookman Old Style" w:cstheme="majorBidi"/>
        </w:rPr>
      </w:pPr>
    </w:p>
    <w:p w14:paraId="6D42F703" w14:textId="77777777" w:rsidR="007176B2" w:rsidRPr="00CE696F" w:rsidRDefault="007176B2" w:rsidP="00CE696F">
      <w:pPr>
        <w:pStyle w:val="ListParagraph"/>
        <w:numPr>
          <w:ilvl w:val="0"/>
          <w:numId w:val="2"/>
        </w:numPr>
        <w:spacing w:after="0" w:line="240" w:lineRule="auto"/>
        <w:jc w:val="both"/>
        <w:rPr>
          <w:rFonts w:ascii="Bookman Old Style" w:hAnsi="Bookman Old Style" w:cstheme="majorBidi"/>
          <w:b/>
          <w:bCs/>
        </w:rPr>
      </w:pPr>
      <w:r w:rsidRPr="00CE696F">
        <w:rPr>
          <w:rFonts w:ascii="Bookman Old Style" w:hAnsi="Bookman Old Style" w:cstheme="majorBidi"/>
          <w:b/>
          <w:bCs/>
        </w:rPr>
        <w:t>Unsur Adanya Hubungan Kausalitas Antara Kesalahan dan Kerugian</w:t>
      </w:r>
    </w:p>
    <w:p w14:paraId="3D0B2B85" w14:textId="5EB66BD3" w:rsidR="007176B2" w:rsidRPr="00CE696F" w:rsidRDefault="007176B2" w:rsidP="00CE696F">
      <w:pPr>
        <w:pStyle w:val="ListParagraph"/>
        <w:spacing w:after="0" w:line="240" w:lineRule="auto"/>
        <w:ind w:left="0" w:firstLine="720"/>
        <w:jc w:val="both"/>
        <w:rPr>
          <w:rFonts w:ascii="Bookman Old Style" w:hAnsi="Bookman Old Style" w:cstheme="majorBidi"/>
        </w:rPr>
      </w:pPr>
      <w:r w:rsidRPr="00CE696F">
        <w:rPr>
          <w:rFonts w:ascii="Bookman Old Style" w:hAnsi="Bookman Old Style" w:cstheme="majorBidi"/>
        </w:rPr>
        <w:t>Dalam hukum Islam kausalitas di sini dibagi menjadi 2 (dua) jenis, yaitu secara langsung (</w:t>
      </w:r>
      <w:r w:rsidRPr="00CE696F">
        <w:rPr>
          <w:rFonts w:ascii="Bookman Old Style" w:hAnsi="Bookman Old Style" w:cstheme="majorBidi"/>
          <w:i/>
          <w:iCs/>
        </w:rPr>
        <w:t>mubâsyarah</w:t>
      </w:r>
      <w:r w:rsidRPr="00CE696F">
        <w:rPr>
          <w:rFonts w:ascii="Bookman Old Style" w:hAnsi="Bookman Old Style" w:cstheme="majorBidi"/>
        </w:rPr>
        <w:t>) maupun tidak langsung (</w:t>
      </w:r>
      <w:r w:rsidRPr="00CE696F">
        <w:rPr>
          <w:rFonts w:ascii="Bookman Old Style" w:hAnsi="Bookman Old Style" w:cstheme="majorBidi"/>
          <w:i/>
          <w:iCs/>
        </w:rPr>
        <w:t>tasabbub</w:t>
      </w:r>
      <w:r w:rsidRPr="00CE696F">
        <w:rPr>
          <w:rFonts w:ascii="Bookman Old Style" w:hAnsi="Bookman Old Style" w:cstheme="majorBidi"/>
        </w:rPr>
        <w:t>). Kausalitas langsung adalah ketika perbuatan seseorang terhadap orang lain berhubungan langsung dengan kerugian yang terjadi. Contohnya yaitu ketika seseorang menabrak orang lain kemudian hal itu membuat orang tersebut meninggal duani. Adapun kausalitas tidak langsung adalah adanyan keterikatan antara hasil/bekas perbuatan seseorang dengan kerugian yang diamali orang lain. Misalnya yaitu, penggalian tanah untuk membuat sumur yang kemudian membuat seseorang terperosok ke dalam sumur tersebut dan mati.</w:t>
      </w:r>
      <w:r w:rsidR="009A4724">
        <w:rPr>
          <w:rFonts w:ascii="Bookman Old Style" w:hAnsi="Bookman Old Style" w:cstheme="majorBidi"/>
        </w:rPr>
        <w:fldChar w:fldCharType="begin" w:fldLock="1"/>
      </w:r>
      <w:r w:rsidR="005E146C">
        <w:rPr>
          <w:rFonts w:ascii="Bookman Old Style" w:hAnsi="Bookman Old Style" w:cstheme="majorBidi"/>
        </w:rPr>
        <w:instrText>ADDIN CSL_CITATION {"citationItems":[{"id":"ITEM-1","itemData":{"author":[{"dropping-particle":"","family":"Amran Suadi","given":"","non-dropping-particle":"","parse-names":false,"suffix":""}],"id":"ITEM-1","issued":{"date-parts":[["2020"]]},"number-of-pages":"113","publisher":"PT RajaGrafindo Persada","publisher-place":"Jakarta","title":"Wanprestasi Dan Perbuatan Melawan Hukum: Dalam Penyelesaian Sengketa Ekonomi Syariah","type":"book"},"uris":["http://www.mendeley.com/documents/?uuid=8e34e13a-19a6-450f-bd7b-70d72f8cbdc6"]}],"mendeley":{"formattedCitation":"(Amran Suadi, 2020)","plainTextFormattedCitation":"(Amran Suadi, 2020)","previouslyFormattedCitation":"(Amran Suadi, 2020)"},"properties":{"noteIndex":0},"schema":"https://github.com/citation-style-language/schema/raw/master/csl-citation.json"}</w:instrText>
      </w:r>
      <w:r w:rsidR="009A4724">
        <w:rPr>
          <w:rFonts w:ascii="Bookman Old Style" w:hAnsi="Bookman Old Style" w:cstheme="majorBidi"/>
        </w:rPr>
        <w:fldChar w:fldCharType="separate"/>
      </w:r>
      <w:r w:rsidR="009A4724" w:rsidRPr="009A4724">
        <w:rPr>
          <w:rFonts w:ascii="Bookman Old Style" w:hAnsi="Bookman Old Style" w:cstheme="majorBidi"/>
          <w:noProof/>
        </w:rPr>
        <w:t>(Amran Suadi, 2020)</w:t>
      </w:r>
      <w:r w:rsidR="009A4724">
        <w:rPr>
          <w:rFonts w:ascii="Bookman Old Style" w:hAnsi="Bookman Old Style" w:cstheme="majorBidi"/>
        </w:rPr>
        <w:fldChar w:fldCharType="end"/>
      </w:r>
    </w:p>
    <w:p w14:paraId="709169DA" w14:textId="77777777" w:rsidR="007176B2" w:rsidRPr="00CE696F" w:rsidRDefault="007176B2" w:rsidP="00CE696F">
      <w:pPr>
        <w:pStyle w:val="ListParagraph"/>
        <w:spacing w:after="0" w:line="240" w:lineRule="auto"/>
        <w:ind w:left="0" w:firstLine="720"/>
        <w:jc w:val="both"/>
        <w:rPr>
          <w:rFonts w:ascii="Bookman Old Style" w:hAnsi="Bookman Old Style" w:cstheme="majorBidi"/>
        </w:rPr>
      </w:pPr>
      <w:r w:rsidRPr="00CE696F">
        <w:rPr>
          <w:rFonts w:ascii="Bookman Old Style" w:hAnsi="Bookman Old Style" w:cstheme="majorBidi"/>
        </w:rPr>
        <w:t xml:space="preserve">Dalam Psal 887 dan 888 </w:t>
      </w:r>
      <w:r w:rsidRPr="00CE696F">
        <w:rPr>
          <w:rFonts w:ascii="Bookman Old Style" w:hAnsi="Bookman Old Style" w:cstheme="majorBidi"/>
          <w:i/>
          <w:iCs/>
        </w:rPr>
        <w:t>Majallah al-A</w:t>
      </w:r>
      <w:r w:rsidRPr="00CE696F">
        <w:rPr>
          <w:rFonts w:ascii="Bookman Old Style" w:hAnsi="Bookman Old Style" w:cstheme="majorBidi"/>
          <w:i/>
          <w:iCs/>
          <w:u w:val="single"/>
        </w:rPr>
        <w:t>h</w:t>
      </w:r>
      <w:r w:rsidRPr="00CE696F">
        <w:rPr>
          <w:rFonts w:ascii="Bookman Old Style" w:hAnsi="Bookman Old Style" w:cstheme="majorBidi"/>
          <w:i/>
          <w:iCs/>
        </w:rPr>
        <w:t>kâm al-‘Adliyyah</w:t>
      </w:r>
      <w:r w:rsidRPr="00CE696F">
        <w:rPr>
          <w:rFonts w:ascii="Bookman Old Style" w:hAnsi="Bookman Old Style" w:cstheme="majorBidi"/>
        </w:rPr>
        <w:t xml:space="preserve"> dijelaskan mengenai kedua kausalias ini dan diberikan contoh ketika seseorang memotong kabel lampu gantung, kemudian lampu itu terjatuh dan pecah, maka rusaknya kabel itu termasuk kategori kausalitas langsung dan pecahnya lampu yang terjatuh termasuk kausalitas tidak langsung sebagai berikut:</w:t>
      </w:r>
    </w:p>
    <w:p w14:paraId="1596B68D" w14:textId="77777777" w:rsidR="007176B2" w:rsidRPr="00CE696F" w:rsidRDefault="007176B2" w:rsidP="007176B2">
      <w:pPr>
        <w:autoSpaceDE w:val="0"/>
        <w:autoSpaceDN w:val="0"/>
        <w:bidi/>
        <w:adjustRightInd w:val="0"/>
        <w:spacing w:after="0" w:line="240" w:lineRule="auto"/>
        <w:rPr>
          <w:rFonts w:ascii="Traditional Arabic" w:hAnsi="Traditional Arabic" w:cs="Traditional Arabic"/>
          <w:color w:val="000000" w:themeColor="text1"/>
          <w:sz w:val="32"/>
          <w:szCs w:val="32"/>
          <w:rtl/>
        </w:rPr>
      </w:pPr>
      <w:r w:rsidRPr="00CE696F">
        <w:rPr>
          <w:rFonts w:ascii="Traditional Arabic" w:hAnsi="Traditional Arabic" w:cs="Traditional Arabic"/>
          <w:color w:val="000000" w:themeColor="text1"/>
          <w:sz w:val="32"/>
          <w:szCs w:val="32"/>
          <w:rtl/>
        </w:rPr>
        <w:t>(الْمَادَّةُ 887) الْإِتْلَافُ مُبَاشَرَةً هُوَ إتْلَافُ الشَّيْءِ بِالذَّاتِ وَيُقَالُ لِمَنْ فَعَلَهُ فَاعِلٌ مُبَاشِرٌ.</w:t>
      </w:r>
    </w:p>
    <w:p w14:paraId="51E5F77E" w14:textId="77777777" w:rsidR="007176B2" w:rsidRPr="00882522" w:rsidRDefault="007176B2" w:rsidP="007176B2">
      <w:pPr>
        <w:autoSpaceDE w:val="0"/>
        <w:autoSpaceDN w:val="0"/>
        <w:bidi/>
        <w:adjustRightInd w:val="0"/>
        <w:spacing w:after="0" w:line="240" w:lineRule="auto"/>
        <w:rPr>
          <w:rFonts w:ascii="Traditional Arabic" w:hAnsi="Traditional Arabic" w:cs="Traditional Arabic"/>
          <w:color w:val="000000" w:themeColor="text1"/>
          <w:sz w:val="36"/>
          <w:szCs w:val="36"/>
        </w:rPr>
      </w:pPr>
      <w:r w:rsidRPr="00CE696F">
        <w:rPr>
          <w:rFonts w:ascii="Traditional Arabic" w:hAnsi="Traditional Arabic" w:cs="Traditional Arabic"/>
          <w:color w:val="000000" w:themeColor="text1"/>
          <w:sz w:val="32"/>
          <w:szCs w:val="32"/>
          <w:rtl/>
        </w:rPr>
        <w:t>(الْمَادَّةُ 888) الْإِتْلَافُ تَسَبُّبًا هُوَ التَّسَبُّبُ لِتَلَفِ شَيْءٍ يَعْنِي إحْدَاثُ أَمْرٍ فِي شَيْءٍ يُفْضِي إلَى تَلَفِ شَيْءٍ آخَرَ عَلَى جَرْيِ الْعَادَةِ وَيُقَالُ لِفَاعِلِهِ مُتَسَبِّبٌ فَعَلَيْهِ إنَّ قَطْعَ حَبْلِ قِنْدِيلٍ مُعَلَّقٍ هُوَ سَبَبٌ مُفْضٍ لِسُقُوطِهِ عَلَى الْأَرْضِ وَانْكِسَارِهِ فَاَلَّذِي قَطَعَ الْحَبْلَ يَكُونُ أَتْلَفَ الْحَبْلَ مُبَاشَرَةً وَكَسَرَ الْقِنْدِيلَ تَسَبُّبًا</w:t>
      </w:r>
      <w:r w:rsidRPr="00D14076">
        <w:rPr>
          <w:rFonts w:ascii="Traditional Arabic" w:hAnsi="Traditional Arabic" w:cs="Traditional Arabic"/>
          <w:color w:val="000000" w:themeColor="text1"/>
          <w:sz w:val="36"/>
          <w:szCs w:val="36"/>
          <w:rtl/>
        </w:rPr>
        <w:t>.</w:t>
      </w:r>
    </w:p>
    <w:p w14:paraId="7E54866B" w14:textId="77777777" w:rsidR="007176B2" w:rsidRPr="00CE696F" w:rsidRDefault="007176B2" w:rsidP="00CE696F">
      <w:pPr>
        <w:pStyle w:val="ListParagraph"/>
        <w:spacing w:after="0" w:line="240" w:lineRule="auto"/>
        <w:jc w:val="both"/>
        <w:rPr>
          <w:rFonts w:ascii="Bookman Old Style" w:hAnsi="Bookman Old Style" w:cstheme="majorBidi"/>
          <w:i/>
          <w:iCs/>
          <w:lang w:val="en-US"/>
        </w:rPr>
      </w:pPr>
      <w:r w:rsidRPr="00CE696F">
        <w:rPr>
          <w:rFonts w:ascii="Bookman Old Style" w:hAnsi="Bookman Old Style" w:cstheme="majorBidi"/>
          <w:lang w:val="en-US"/>
        </w:rPr>
        <w:t>“</w:t>
      </w:r>
      <w:proofErr w:type="spellStart"/>
      <w:r w:rsidRPr="00CE696F">
        <w:rPr>
          <w:rFonts w:ascii="Bookman Old Style" w:hAnsi="Bookman Old Style" w:cstheme="majorBidi"/>
          <w:lang w:val="en-US"/>
        </w:rPr>
        <w:t>Pasal</w:t>
      </w:r>
      <w:proofErr w:type="spellEnd"/>
      <w:r w:rsidRPr="00CE696F">
        <w:rPr>
          <w:rFonts w:ascii="Bookman Old Style" w:hAnsi="Bookman Old Style" w:cstheme="majorBidi"/>
          <w:lang w:val="en-US"/>
        </w:rPr>
        <w:t xml:space="preserve"> 887: “</w:t>
      </w:r>
      <w:proofErr w:type="spellStart"/>
      <w:r w:rsidRPr="00CE696F">
        <w:rPr>
          <w:rFonts w:ascii="Bookman Old Style" w:hAnsi="Bookman Old Style" w:cstheme="majorBidi"/>
          <w:i/>
          <w:iCs/>
          <w:lang w:val="en-US"/>
        </w:rPr>
        <w:t>Perusak</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langsung</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adalah</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perusakan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terhadap</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suatu</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barang</w:t>
      </w:r>
      <w:proofErr w:type="spellEnd"/>
      <w:r w:rsidRPr="00CE696F">
        <w:rPr>
          <w:rFonts w:ascii="Bookman Old Style" w:hAnsi="Bookman Old Style" w:cstheme="majorBidi"/>
          <w:i/>
          <w:iCs/>
          <w:lang w:val="en-US"/>
        </w:rPr>
        <w:t xml:space="preserve"> oleh </w:t>
      </w:r>
      <w:proofErr w:type="spellStart"/>
      <w:r w:rsidRPr="00CE696F">
        <w:rPr>
          <w:rFonts w:ascii="Bookman Old Style" w:hAnsi="Bookman Old Style" w:cstheme="majorBidi"/>
          <w:i/>
          <w:iCs/>
          <w:lang w:val="en-US"/>
        </w:rPr>
        <w:t>seseorang</w:t>
      </w:r>
      <w:proofErr w:type="spellEnd"/>
      <w:r w:rsidRPr="00CE696F">
        <w:rPr>
          <w:rFonts w:ascii="Bookman Old Style" w:hAnsi="Bookman Old Style" w:cstheme="majorBidi"/>
          <w:i/>
          <w:iCs/>
          <w:lang w:val="en-US"/>
        </w:rPr>
        <w:t xml:space="preserve"> yang </w:t>
      </w:r>
      <w:proofErr w:type="spellStart"/>
      <w:r w:rsidRPr="00CE696F">
        <w:rPr>
          <w:rFonts w:ascii="Bookman Old Style" w:hAnsi="Bookman Old Style" w:cstheme="majorBidi"/>
          <w:i/>
          <w:iCs/>
          <w:lang w:val="en-US"/>
        </w:rPr>
        <w:t>dilakukan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secara</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langsung</w:t>
      </w:r>
      <w:proofErr w:type="spellEnd"/>
      <w:r w:rsidRPr="00CE696F">
        <w:rPr>
          <w:rFonts w:ascii="Bookman Old Style" w:hAnsi="Bookman Old Style" w:cstheme="majorBidi"/>
          <w:i/>
          <w:iCs/>
          <w:lang w:val="en-US"/>
        </w:rPr>
        <w:t xml:space="preserve">. Orang yang </w:t>
      </w:r>
      <w:proofErr w:type="spellStart"/>
      <w:r w:rsidRPr="00CE696F">
        <w:rPr>
          <w:rFonts w:ascii="Bookman Old Style" w:hAnsi="Bookman Old Style" w:cstheme="majorBidi"/>
          <w:i/>
          <w:iCs/>
          <w:lang w:val="en-US"/>
        </w:rPr>
        <w:lastRenderedPageBreak/>
        <w:t>menghancurkan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barang</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tersebut</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pelaku</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langsung</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perusakan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fi’il</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mubâyirah</w:t>
      </w:r>
      <w:proofErr w:type="spellEnd"/>
      <w:r w:rsidRPr="00CE696F">
        <w:rPr>
          <w:rFonts w:ascii="Bookman Old Style" w:hAnsi="Bookman Old Style" w:cstheme="majorBidi"/>
          <w:i/>
          <w:iCs/>
          <w:lang w:val="en-US"/>
        </w:rPr>
        <w:t>)”</w:t>
      </w:r>
    </w:p>
    <w:p w14:paraId="0BB5BB6C" w14:textId="77777777" w:rsidR="007176B2" w:rsidRPr="00CE696F" w:rsidRDefault="007176B2" w:rsidP="00CE696F">
      <w:pPr>
        <w:pStyle w:val="ListParagraph"/>
        <w:spacing w:after="0" w:line="240" w:lineRule="auto"/>
        <w:jc w:val="both"/>
        <w:rPr>
          <w:rFonts w:ascii="Bookman Old Style" w:hAnsi="Bookman Old Style" w:cstheme="majorBidi"/>
        </w:rPr>
      </w:pPr>
      <w:proofErr w:type="spellStart"/>
      <w:r w:rsidRPr="00CE696F">
        <w:rPr>
          <w:rFonts w:ascii="Bookman Old Style" w:hAnsi="Bookman Old Style" w:cstheme="majorBidi"/>
          <w:lang w:val="en-US"/>
        </w:rPr>
        <w:t>Pasal</w:t>
      </w:r>
      <w:proofErr w:type="spellEnd"/>
      <w:r w:rsidRPr="00CE696F">
        <w:rPr>
          <w:rFonts w:ascii="Bookman Old Style" w:hAnsi="Bookman Old Style" w:cstheme="majorBidi"/>
          <w:lang w:val="en-US"/>
        </w:rPr>
        <w:t xml:space="preserve"> 889: “</w:t>
      </w:r>
      <w:proofErr w:type="spellStart"/>
      <w:r w:rsidRPr="00CE696F">
        <w:rPr>
          <w:rFonts w:ascii="Bookman Old Style" w:hAnsi="Bookman Old Style" w:cstheme="majorBidi"/>
          <w:i/>
          <w:iCs/>
          <w:lang w:val="en-US"/>
        </w:rPr>
        <w:t>Perusakan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tidak</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langsung</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adalah</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perusakan</w:t>
      </w:r>
      <w:proofErr w:type="spellEnd"/>
      <w:r w:rsidRPr="00CE696F">
        <w:rPr>
          <w:rFonts w:ascii="Bookman Old Style" w:hAnsi="Bookman Old Style" w:cstheme="majorBidi"/>
          <w:i/>
          <w:iCs/>
          <w:lang w:val="en-US"/>
        </w:rPr>
        <w:t xml:space="preserve"> oleh orang yang </w:t>
      </w:r>
      <w:proofErr w:type="spellStart"/>
      <w:r w:rsidRPr="00CE696F">
        <w:rPr>
          <w:rFonts w:ascii="Bookman Old Style" w:hAnsi="Bookman Old Style" w:cstheme="majorBidi"/>
          <w:i/>
          <w:iCs/>
          <w:lang w:val="en-US"/>
        </w:rPr>
        <w:t>menjadi</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penyebab</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terjadinya</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perusakan</w:t>
      </w:r>
      <w:proofErr w:type="spellEnd"/>
      <w:r w:rsidRPr="00CE696F">
        <w:rPr>
          <w:rFonts w:ascii="Bookman Old Style" w:hAnsi="Bookman Old Style" w:cstheme="majorBidi"/>
          <w:i/>
          <w:iCs/>
          <w:lang w:val="en-US"/>
        </w:rPr>
        <w:t xml:space="preserve"> pada </w:t>
      </w:r>
      <w:proofErr w:type="spellStart"/>
      <w:r w:rsidRPr="00CE696F">
        <w:rPr>
          <w:rFonts w:ascii="Bookman Old Style" w:hAnsi="Bookman Old Style" w:cstheme="majorBidi"/>
          <w:i/>
          <w:iCs/>
          <w:lang w:val="en-US"/>
        </w:rPr>
        <w:t>suatu</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barang</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Artinya</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melakukan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suatu</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tindakan</w:t>
      </w:r>
      <w:proofErr w:type="spellEnd"/>
      <w:r w:rsidRPr="00CE696F">
        <w:rPr>
          <w:rFonts w:ascii="Bookman Old Style" w:hAnsi="Bookman Old Style" w:cstheme="majorBidi"/>
          <w:i/>
          <w:iCs/>
          <w:lang w:val="en-US"/>
        </w:rPr>
        <w:t xml:space="preserve"> yang </w:t>
      </w:r>
      <w:proofErr w:type="spellStart"/>
      <w:r w:rsidRPr="00CE696F">
        <w:rPr>
          <w:rFonts w:ascii="Bookman Old Style" w:hAnsi="Bookman Old Style" w:cstheme="majorBidi"/>
          <w:i/>
          <w:iCs/>
          <w:lang w:val="en-US"/>
        </w:rPr>
        <w:t>menyebabkan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terjadinya</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perusakan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barang</w:t>
      </w:r>
      <w:proofErr w:type="spellEnd"/>
      <w:r w:rsidRPr="00CE696F">
        <w:rPr>
          <w:rFonts w:ascii="Bookman Old Style" w:hAnsi="Bookman Old Style" w:cstheme="majorBidi"/>
          <w:i/>
          <w:iCs/>
          <w:lang w:val="en-US"/>
        </w:rPr>
        <w:t xml:space="preserve"> lain </w:t>
      </w:r>
      <w:proofErr w:type="spellStart"/>
      <w:r w:rsidRPr="00CE696F">
        <w:rPr>
          <w:rFonts w:ascii="Bookman Old Style" w:hAnsi="Bookman Old Style" w:cstheme="majorBidi"/>
          <w:i/>
          <w:iCs/>
          <w:lang w:val="en-US"/>
        </w:rPr>
        <w:t>dengan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tidak</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langsung</w:t>
      </w:r>
      <w:proofErr w:type="spellEnd"/>
      <w:r w:rsidRPr="00CE696F">
        <w:rPr>
          <w:rFonts w:ascii="Bookman Old Style" w:hAnsi="Bookman Old Style" w:cstheme="majorBidi"/>
          <w:i/>
          <w:iCs/>
          <w:lang w:val="en-US"/>
        </w:rPr>
        <w:t xml:space="preserve">. Orang yang </w:t>
      </w:r>
      <w:proofErr w:type="spellStart"/>
      <w:r w:rsidRPr="00CE696F">
        <w:rPr>
          <w:rFonts w:ascii="Bookman Old Style" w:hAnsi="Bookman Old Style" w:cstheme="majorBidi"/>
          <w:i/>
          <w:iCs/>
          <w:lang w:val="en-US"/>
        </w:rPr>
        <w:t>melakukan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perbuatan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itu</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disebut</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dengan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penyebab</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kerusakan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mutasabib</w:t>
      </w:r>
      <w:proofErr w:type="spellEnd"/>
      <w:r w:rsidRPr="00CE696F">
        <w:rPr>
          <w:rFonts w:ascii="Bookman Old Style" w:hAnsi="Bookman Old Style" w:cstheme="majorBidi"/>
          <w:lang w:val="en-US"/>
        </w:rPr>
        <w:t xml:space="preserve">), </w:t>
      </w:r>
      <w:proofErr w:type="spellStart"/>
      <w:r w:rsidRPr="00CE696F">
        <w:rPr>
          <w:rFonts w:ascii="Bookman Old Style" w:hAnsi="Bookman Old Style" w:cstheme="majorBidi"/>
          <w:i/>
          <w:iCs/>
          <w:lang w:val="en-US"/>
        </w:rPr>
        <w:t>contoh</w:t>
      </w:r>
      <w:proofErr w:type="spellEnd"/>
      <w:r w:rsidRPr="00CE696F">
        <w:rPr>
          <w:rFonts w:ascii="Bookman Old Style" w:hAnsi="Bookman Old Style" w:cstheme="majorBidi"/>
          <w:i/>
          <w:iCs/>
          <w:lang w:val="en-US"/>
        </w:rPr>
        <w:t xml:space="preserve">: (1) </w:t>
      </w:r>
      <w:proofErr w:type="spellStart"/>
      <w:r w:rsidRPr="00CE696F">
        <w:rPr>
          <w:rFonts w:ascii="Bookman Old Style" w:hAnsi="Bookman Old Style" w:cstheme="majorBidi"/>
          <w:i/>
          <w:iCs/>
          <w:lang w:val="en-US"/>
        </w:rPr>
        <w:t>Seutas</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tali</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lampu</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gantung</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dipotong</w:t>
      </w:r>
      <w:proofErr w:type="spellEnd"/>
      <w:r w:rsidRPr="00CE696F">
        <w:rPr>
          <w:rFonts w:ascii="Bookman Old Style" w:hAnsi="Bookman Old Style" w:cstheme="majorBidi"/>
          <w:i/>
          <w:iCs/>
          <w:lang w:val="en-US"/>
        </w:rPr>
        <w:t xml:space="preserve"> orang. </w:t>
      </w:r>
      <w:proofErr w:type="spellStart"/>
      <w:r w:rsidRPr="00CE696F">
        <w:rPr>
          <w:rFonts w:ascii="Bookman Old Style" w:hAnsi="Bookman Old Style" w:cstheme="majorBidi"/>
          <w:i/>
          <w:iCs/>
          <w:lang w:val="en-US"/>
        </w:rPr>
        <w:t>Lampunya</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jatuh</w:t>
      </w:r>
      <w:proofErr w:type="spellEnd"/>
      <w:r w:rsidRPr="00CE696F">
        <w:rPr>
          <w:rFonts w:ascii="Bookman Old Style" w:hAnsi="Bookman Old Style" w:cstheme="majorBidi"/>
          <w:i/>
          <w:iCs/>
          <w:lang w:val="en-US"/>
        </w:rPr>
        <w:t xml:space="preserve"> dan </w:t>
      </w:r>
      <w:proofErr w:type="spellStart"/>
      <w:r w:rsidRPr="00CE696F">
        <w:rPr>
          <w:rFonts w:ascii="Bookman Old Style" w:hAnsi="Bookman Old Style" w:cstheme="majorBidi"/>
          <w:i/>
          <w:iCs/>
          <w:lang w:val="en-US"/>
        </w:rPr>
        <w:t>pecah</w:t>
      </w:r>
      <w:proofErr w:type="spellEnd"/>
      <w:r w:rsidRPr="00CE696F">
        <w:rPr>
          <w:rFonts w:ascii="Bookman Old Style" w:hAnsi="Bookman Old Style" w:cstheme="majorBidi"/>
          <w:i/>
          <w:iCs/>
          <w:lang w:val="en-US"/>
        </w:rPr>
        <w:t xml:space="preserve">. Orang yang </w:t>
      </w:r>
      <w:proofErr w:type="spellStart"/>
      <w:r w:rsidRPr="00CE696F">
        <w:rPr>
          <w:rFonts w:ascii="Bookman Old Style" w:hAnsi="Bookman Old Style" w:cstheme="majorBidi"/>
          <w:i/>
          <w:iCs/>
          <w:lang w:val="en-US"/>
        </w:rPr>
        <w:t>melakukan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pemotongan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tali</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tersebut</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adalah</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penyebab</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langsung</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kerusakan</w:t>
      </w:r>
      <w:proofErr w:type="spellEnd"/>
      <w:r w:rsidRPr="00CE696F">
        <w:rPr>
          <w:rFonts w:ascii="Bookman Old Style" w:hAnsi="Bookman Old Style" w:cstheme="majorBidi"/>
          <w:i/>
          <w:iCs/>
          <w:lang w:val="en-US"/>
        </w:rPr>
        <w:t xml:space="preserve"> pada </w:t>
      </w:r>
      <w:proofErr w:type="spellStart"/>
      <w:r w:rsidRPr="00CE696F">
        <w:rPr>
          <w:rFonts w:ascii="Bookman Old Style" w:hAnsi="Bookman Old Style" w:cstheme="majorBidi"/>
          <w:i/>
          <w:iCs/>
          <w:lang w:val="en-US"/>
        </w:rPr>
        <w:t>tali</w:t>
      </w:r>
      <w:proofErr w:type="spellEnd"/>
      <w:r w:rsidRPr="00CE696F">
        <w:rPr>
          <w:rFonts w:ascii="Bookman Old Style" w:hAnsi="Bookman Old Style" w:cstheme="majorBidi"/>
          <w:i/>
          <w:iCs/>
          <w:lang w:val="en-US"/>
        </w:rPr>
        <w:t xml:space="preserve"> dan </w:t>
      </w:r>
      <w:proofErr w:type="spellStart"/>
      <w:r w:rsidRPr="00CE696F">
        <w:rPr>
          <w:rFonts w:ascii="Bookman Old Style" w:hAnsi="Bookman Old Style" w:cstheme="majorBidi"/>
          <w:i/>
          <w:iCs/>
          <w:lang w:val="en-US"/>
        </w:rPr>
        <w:t>penyebab</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tidak</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langsung</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dari</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kerusakan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lampu</w:t>
      </w:r>
      <w:proofErr w:type="spellEnd"/>
      <w:r w:rsidRPr="00CE696F">
        <w:rPr>
          <w:rFonts w:ascii="Bookman Old Style" w:hAnsi="Bookman Old Style" w:cstheme="majorBidi"/>
          <w:i/>
          <w:iCs/>
          <w:lang w:val="en-US"/>
        </w:rPr>
        <w:t xml:space="preserve">; (2) </w:t>
      </w:r>
      <w:proofErr w:type="spellStart"/>
      <w:r w:rsidRPr="00CE696F">
        <w:rPr>
          <w:rFonts w:ascii="Bookman Old Style" w:hAnsi="Bookman Old Style" w:cstheme="majorBidi"/>
          <w:i/>
          <w:iCs/>
          <w:lang w:val="en-US"/>
        </w:rPr>
        <w:t>Seseorang</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membelah</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kantong</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minyak</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sehingga</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minyak</w:t>
      </w:r>
      <w:proofErr w:type="spellEnd"/>
      <w:r w:rsidRPr="00CE696F">
        <w:rPr>
          <w:rFonts w:ascii="Bookman Old Style" w:hAnsi="Bookman Old Style" w:cstheme="majorBidi"/>
          <w:i/>
          <w:iCs/>
          <w:lang w:val="en-US"/>
        </w:rPr>
        <w:t xml:space="preserve"> yang </w:t>
      </w:r>
      <w:proofErr w:type="spellStart"/>
      <w:r w:rsidRPr="00CE696F">
        <w:rPr>
          <w:rFonts w:ascii="Bookman Old Style" w:hAnsi="Bookman Old Style" w:cstheme="majorBidi"/>
          <w:i/>
          <w:iCs/>
          <w:lang w:val="en-US"/>
        </w:rPr>
        <w:t>ada</w:t>
      </w:r>
      <w:proofErr w:type="spellEnd"/>
      <w:r w:rsidRPr="00CE696F">
        <w:rPr>
          <w:rFonts w:ascii="Bookman Old Style" w:hAnsi="Bookman Old Style" w:cstheme="majorBidi"/>
          <w:i/>
          <w:iCs/>
          <w:lang w:val="en-US"/>
        </w:rPr>
        <w:t xml:space="preserve"> di </w:t>
      </w:r>
      <w:proofErr w:type="spellStart"/>
      <w:r w:rsidRPr="00CE696F">
        <w:rPr>
          <w:rFonts w:ascii="Bookman Old Style" w:hAnsi="Bookman Old Style" w:cstheme="majorBidi"/>
          <w:i/>
          <w:iCs/>
          <w:lang w:val="en-US"/>
        </w:rPr>
        <w:t>dalamnya</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mengalir</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ke</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luar</w:t>
      </w:r>
      <w:proofErr w:type="spellEnd"/>
      <w:r w:rsidRPr="00CE696F">
        <w:rPr>
          <w:rFonts w:ascii="Bookman Old Style" w:hAnsi="Bookman Old Style" w:cstheme="majorBidi"/>
          <w:i/>
          <w:iCs/>
          <w:lang w:val="en-US"/>
        </w:rPr>
        <w:t xml:space="preserve"> dan </w:t>
      </w:r>
      <w:proofErr w:type="spellStart"/>
      <w:r w:rsidRPr="00CE696F">
        <w:rPr>
          <w:rFonts w:ascii="Bookman Old Style" w:hAnsi="Bookman Old Style" w:cstheme="majorBidi"/>
          <w:i/>
          <w:iCs/>
          <w:lang w:val="en-US"/>
        </w:rPr>
        <w:t>hilang</w:t>
      </w:r>
      <w:proofErr w:type="spellEnd"/>
      <w:r w:rsidRPr="00CE696F">
        <w:rPr>
          <w:rFonts w:ascii="Bookman Old Style" w:hAnsi="Bookman Old Style" w:cstheme="majorBidi"/>
          <w:i/>
          <w:iCs/>
          <w:lang w:val="en-US"/>
        </w:rPr>
        <w:t xml:space="preserve">. Orang </w:t>
      </w:r>
      <w:proofErr w:type="spellStart"/>
      <w:r w:rsidRPr="00CE696F">
        <w:rPr>
          <w:rFonts w:ascii="Bookman Old Style" w:hAnsi="Bookman Old Style" w:cstheme="majorBidi"/>
          <w:i/>
          <w:iCs/>
          <w:lang w:val="en-US"/>
        </w:rPr>
        <w:t>itu</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adalah</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penyebab</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langsung</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keruskaan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dari</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kantong</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oli</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tersebut</w:t>
      </w:r>
      <w:proofErr w:type="spellEnd"/>
      <w:r w:rsidRPr="00CE696F">
        <w:rPr>
          <w:rFonts w:ascii="Bookman Old Style" w:hAnsi="Bookman Old Style" w:cstheme="majorBidi"/>
          <w:i/>
          <w:iCs/>
          <w:lang w:val="en-US"/>
        </w:rPr>
        <w:t xml:space="preserve">, dan </w:t>
      </w:r>
      <w:proofErr w:type="spellStart"/>
      <w:r w:rsidRPr="00CE696F">
        <w:rPr>
          <w:rFonts w:ascii="Bookman Old Style" w:hAnsi="Bookman Old Style" w:cstheme="majorBidi"/>
          <w:i/>
          <w:iCs/>
          <w:lang w:val="en-US"/>
        </w:rPr>
        <w:t>penyebab</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tidak</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langsung</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dari</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kerusakan</w:t>
      </w:r>
      <w:proofErr w:type="spellEnd"/>
      <w:r w:rsidRPr="00CE696F">
        <w:rPr>
          <w:rFonts w:ascii="Bookman Old Style" w:hAnsi="Bookman Old Style" w:cstheme="majorBidi"/>
          <w:i/>
          <w:iCs/>
          <w:lang w:val="en-US"/>
        </w:rPr>
        <w:t xml:space="preserve"> </w:t>
      </w:r>
      <w:proofErr w:type="spellStart"/>
      <w:r w:rsidRPr="00CE696F">
        <w:rPr>
          <w:rFonts w:ascii="Bookman Old Style" w:hAnsi="Bookman Old Style" w:cstheme="majorBidi"/>
          <w:i/>
          <w:iCs/>
          <w:lang w:val="en-US"/>
        </w:rPr>
        <w:t>minyak</w:t>
      </w:r>
      <w:proofErr w:type="spellEnd"/>
      <w:r w:rsidRPr="00CE696F">
        <w:rPr>
          <w:rFonts w:ascii="Bookman Old Style" w:hAnsi="Bookman Old Style" w:cstheme="majorBidi"/>
          <w:i/>
          <w:iCs/>
          <w:lang w:val="en-US"/>
        </w:rPr>
        <w:t>”</w:t>
      </w:r>
    </w:p>
    <w:p w14:paraId="03F485D1" w14:textId="2DE244AD" w:rsidR="007176B2" w:rsidRPr="00164EAA" w:rsidRDefault="007176B2" w:rsidP="00164EAA">
      <w:pPr>
        <w:pStyle w:val="ListParagraph"/>
        <w:spacing w:after="0" w:line="240" w:lineRule="auto"/>
        <w:ind w:left="0" w:firstLine="720"/>
        <w:jc w:val="both"/>
        <w:rPr>
          <w:rFonts w:ascii="Bookman Old Style" w:hAnsi="Bookman Old Style" w:cstheme="majorBidi"/>
        </w:rPr>
      </w:pPr>
      <w:r w:rsidRPr="00CE696F">
        <w:rPr>
          <w:rFonts w:ascii="Bookman Old Style" w:hAnsi="Bookman Old Style" w:cstheme="majorBidi"/>
        </w:rPr>
        <w:t>Pentingnya membedakan keduanya karena hal ini berkaitan dengan ganti rugi yang akan diberikan. Dalam kausalitas langsung pelaku wajib memberikan ganti rugi sesuai dengan kerugian yang ada, sedangkan dalam kausalias tidak langsung, maka pelaku memiliki kewajiban untuk bertanggung jawab jika terdapat tiga syarat yang terpenuhi:</w:t>
      </w:r>
      <w:r w:rsidR="005E146C">
        <w:rPr>
          <w:rFonts w:ascii="Bookman Old Style" w:hAnsi="Bookman Old Style" w:cstheme="majorBidi"/>
        </w:rPr>
        <w:fldChar w:fldCharType="begin" w:fldLock="1"/>
      </w:r>
      <w:r w:rsidR="008060EB">
        <w:rPr>
          <w:rFonts w:ascii="Bookman Old Style" w:hAnsi="Bookman Old Style" w:cstheme="majorBidi"/>
        </w:rPr>
        <w:instrText>ADDIN CSL_CITATION {"citationItems":[{"id":"ITEM-1","itemData":{"author":[{"dropping-particle":"","family":"Wahbah al-Zuhaili","given":"","non-dropping-particle":"","parse-names":false,"suffix":""}],"id":"ITEM-1","issued":{"date-parts":[["2012"]]},"number-of-pages":"667","publisher":"Dar al-Fikr","publisher-place":"Beirut","title":"Mausû’ah al-fiqh al-Islâmî wa al-Qadhayâ al-Mu’âshirah","type":"book"},"uris":["http://www.mendeley.com/documents/?uuid=0622ae50-7510-4675-a55f-1037d83b4eda"]}],"mendeley":{"formattedCitation":"(Wahbah al-Zuhaili, 2012a)","plainTextFormattedCitation":"(Wahbah al-Zuhaili, 2012a)","previouslyFormattedCitation":"(Wahbah al-Zuhaili, 2012a)"},"properties":{"noteIndex":0},"schema":"https://github.com/citation-style-language/schema/raw/master/csl-citation.json"}</w:instrText>
      </w:r>
      <w:r w:rsidR="005E146C">
        <w:rPr>
          <w:rFonts w:ascii="Bookman Old Style" w:hAnsi="Bookman Old Style" w:cstheme="majorBidi"/>
        </w:rPr>
        <w:fldChar w:fldCharType="separate"/>
      </w:r>
      <w:r w:rsidR="00B95F8E" w:rsidRPr="00B95F8E">
        <w:rPr>
          <w:rFonts w:ascii="Bookman Old Style" w:hAnsi="Bookman Old Style" w:cstheme="majorBidi"/>
          <w:noProof/>
        </w:rPr>
        <w:t>(Wahbah al-Zuhaili, 2012a)</w:t>
      </w:r>
      <w:r w:rsidR="005E146C">
        <w:rPr>
          <w:rFonts w:ascii="Bookman Old Style" w:hAnsi="Bookman Old Style" w:cstheme="majorBidi"/>
        </w:rPr>
        <w:fldChar w:fldCharType="end"/>
      </w:r>
      <w:r w:rsidR="00164EAA">
        <w:rPr>
          <w:rFonts w:ascii="Bookman Old Style" w:hAnsi="Bookman Old Style" w:cstheme="majorBidi"/>
        </w:rPr>
        <w:t xml:space="preserve"> </w:t>
      </w:r>
      <w:r w:rsidR="00164EAA">
        <w:rPr>
          <w:rFonts w:ascii="Bookman Old Style" w:hAnsi="Bookman Old Style" w:cstheme="majorBidi"/>
          <w:i/>
          <w:iCs/>
        </w:rPr>
        <w:t xml:space="preserve">pertama, </w:t>
      </w:r>
      <w:r w:rsidR="00164EAA">
        <w:rPr>
          <w:rFonts w:ascii="Bookman Old Style" w:hAnsi="Bookman Old Style" w:cstheme="majorBidi"/>
        </w:rPr>
        <w:t>d</w:t>
      </w:r>
      <w:r w:rsidRPr="00164EAA">
        <w:rPr>
          <w:rFonts w:ascii="Bookman Old Style" w:hAnsi="Bookman Old Style" w:cstheme="majorBidi"/>
        </w:rPr>
        <w:t>apat dipastikan bahw akejadian tersebut terjadi karena perbuatan dari pelaku (meski secara tidak langsung);</w:t>
      </w:r>
      <w:r w:rsidR="00164EAA">
        <w:rPr>
          <w:rFonts w:ascii="Bookman Old Style" w:hAnsi="Bookman Old Style" w:cstheme="majorBidi"/>
        </w:rPr>
        <w:t xml:space="preserve"> </w:t>
      </w:r>
      <w:r w:rsidR="00164EAA">
        <w:rPr>
          <w:rFonts w:ascii="Bookman Old Style" w:hAnsi="Bookman Old Style" w:cstheme="majorBidi"/>
          <w:i/>
          <w:iCs/>
        </w:rPr>
        <w:t xml:space="preserve">kesua, </w:t>
      </w:r>
      <w:r w:rsidR="00164EAA">
        <w:rPr>
          <w:rFonts w:ascii="Bookman Old Style" w:hAnsi="Bookman Old Style" w:cstheme="majorBidi"/>
        </w:rPr>
        <w:t>a</w:t>
      </w:r>
      <w:r w:rsidRPr="00164EAA">
        <w:rPr>
          <w:rFonts w:ascii="Bookman Old Style" w:hAnsi="Bookman Old Style" w:cstheme="majorBidi"/>
        </w:rPr>
        <w:t>danya kerugian diakibatkan karena kesengejaan dari pelaku (pembuat sebab); dan</w:t>
      </w:r>
      <w:r w:rsidR="00164EAA">
        <w:rPr>
          <w:rFonts w:ascii="Bookman Old Style" w:hAnsi="Bookman Old Style" w:cstheme="majorBidi"/>
        </w:rPr>
        <w:t xml:space="preserve"> </w:t>
      </w:r>
      <w:r w:rsidR="00164EAA">
        <w:rPr>
          <w:rFonts w:ascii="Bookman Old Style" w:hAnsi="Bookman Old Style" w:cstheme="majorBidi"/>
          <w:i/>
          <w:iCs/>
        </w:rPr>
        <w:t xml:space="preserve">ketiga, </w:t>
      </w:r>
      <w:r w:rsidR="00164EAA">
        <w:rPr>
          <w:rFonts w:ascii="Bookman Old Style" w:hAnsi="Bookman Old Style" w:cstheme="majorBidi"/>
        </w:rPr>
        <w:t>t</w:t>
      </w:r>
      <w:r w:rsidRPr="00164EAA">
        <w:rPr>
          <w:rFonts w:ascii="Bookman Old Style" w:hAnsi="Bookman Old Style" w:cstheme="majorBidi"/>
        </w:rPr>
        <w:t>idak adanya sebab lain yang memengaruhi terjadinya kerugian tersebut. Karena jika ada perbuatan orang lain, maka perbuatan orang lain inilah yang menjadi kausalitas langsung adanya kerugia. Misalnya dalam kasus jatuhnya orang lain ke dalam sumur galian karena didorong orang lain, maka penggali tidak bertanggung jawab.</w:t>
      </w:r>
    </w:p>
    <w:p w14:paraId="56BE65B0" w14:textId="77777777" w:rsidR="007176B2" w:rsidRPr="00CE696F" w:rsidRDefault="007176B2" w:rsidP="00CE696F">
      <w:pPr>
        <w:spacing w:after="0" w:line="240" w:lineRule="auto"/>
        <w:ind w:firstLine="720"/>
        <w:jc w:val="both"/>
        <w:rPr>
          <w:rFonts w:ascii="Bookman Old Style" w:hAnsi="Bookman Old Style" w:cstheme="majorBidi"/>
        </w:rPr>
      </w:pPr>
      <w:r w:rsidRPr="00CE696F">
        <w:rPr>
          <w:rFonts w:ascii="Bookman Old Style" w:hAnsi="Bookman Old Style" w:cstheme="majorBidi"/>
        </w:rPr>
        <w:t xml:space="preserve">Pandangan hukum Islam terhadap pertalian antara perbuatan dan akibat yang ditimbulkan (kausalitas), apabila perbuatan itu termasuk perbuatan yang menimbulkan akibat secara langsung, maka menentukan kausalitas dalam hal ini tidak sulit. Berbeda jika sebab yang mengantar kepada akibat banyak jumlahnya, baik saling membantu serta berangkai-rangkai, maka dalam hal ini sulit menentukan kausalitasnya. </w:t>
      </w:r>
    </w:p>
    <w:p w14:paraId="614FE4B5" w14:textId="7FDFBFB2" w:rsidR="007176B2" w:rsidRPr="00CE696F" w:rsidRDefault="007176B2" w:rsidP="00CE696F">
      <w:pPr>
        <w:spacing w:after="0" w:line="240" w:lineRule="auto"/>
        <w:ind w:firstLine="720"/>
        <w:jc w:val="both"/>
        <w:rPr>
          <w:rFonts w:ascii="Bookman Old Style" w:hAnsi="Bookman Old Style" w:cstheme="majorBidi"/>
        </w:rPr>
      </w:pPr>
      <w:r w:rsidRPr="00CE696F">
        <w:rPr>
          <w:rFonts w:ascii="Bookman Old Style" w:hAnsi="Bookman Old Style" w:cstheme="majorBidi"/>
        </w:rPr>
        <w:t xml:space="preserve">Untuk itu menurut Imron Rosyadi, para hali hukum Islam membagi sesbab kepada 3 (tiga) bagian. </w:t>
      </w:r>
      <w:r w:rsidRPr="00CE696F">
        <w:rPr>
          <w:rFonts w:ascii="Bookman Old Style" w:hAnsi="Bookman Old Style" w:cstheme="majorBidi"/>
          <w:i/>
          <w:iCs/>
        </w:rPr>
        <w:t xml:space="preserve">Pertama, </w:t>
      </w:r>
      <w:r w:rsidRPr="00CE696F">
        <w:rPr>
          <w:rFonts w:ascii="Bookman Old Style" w:hAnsi="Bookman Old Style" w:cstheme="majorBidi"/>
        </w:rPr>
        <w:t xml:space="preserve">sebab indrawi, yaitu sebab yang menimbulkan akibat secara jelas tanpa diragukan lagi, baik langsung atau sebab lain yang timbul dari sebab pertama. Contoh, seseorang yang memparkirkan mobil sengaja di dekat api yang sedang menjalar, meskipun perbuatannya tersebut tidak langsung membakar mobil namun dengan menaruh mobil dekat api menjadi sebab terbakarnya mobil. </w:t>
      </w:r>
      <w:r w:rsidRPr="00CE696F">
        <w:rPr>
          <w:rFonts w:ascii="Bookman Old Style" w:hAnsi="Bookman Old Style" w:cstheme="majorBidi"/>
          <w:i/>
          <w:iCs/>
        </w:rPr>
        <w:t>Kedua</w:t>
      </w:r>
      <w:r w:rsidRPr="00CE696F">
        <w:rPr>
          <w:rFonts w:ascii="Bookman Old Style" w:hAnsi="Bookman Old Style" w:cstheme="majorBidi"/>
        </w:rPr>
        <w:t xml:space="preserve">, sebab </w:t>
      </w:r>
      <w:r w:rsidRPr="00CE696F">
        <w:rPr>
          <w:rFonts w:ascii="Bookman Old Style" w:hAnsi="Bookman Old Style" w:cstheme="majorBidi"/>
          <w:i/>
          <w:iCs/>
        </w:rPr>
        <w:t>syar’iy</w:t>
      </w:r>
      <w:r w:rsidRPr="00CE696F">
        <w:rPr>
          <w:rFonts w:ascii="Bookman Old Style" w:hAnsi="Bookman Old Style" w:cstheme="majorBidi"/>
        </w:rPr>
        <w:t xml:space="preserve">, yaitu sebab yang menimbulkan akibat yang pelakunya harus bertanggung jawab berdasarkan ketentuan </w:t>
      </w:r>
      <w:r w:rsidRPr="00CE696F">
        <w:rPr>
          <w:rFonts w:ascii="Bookman Old Style" w:hAnsi="Bookman Old Style" w:cstheme="majorBidi"/>
          <w:i/>
          <w:iCs/>
        </w:rPr>
        <w:t>syara’</w:t>
      </w:r>
      <w:r w:rsidRPr="00CE696F">
        <w:rPr>
          <w:rFonts w:ascii="Bookman Old Style" w:hAnsi="Bookman Old Style" w:cstheme="majorBidi"/>
        </w:rPr>
        <w:t xml:space="preserve">. Contohnya, kesaksian palsu di muka hakim yang menyebabkan seseorang dijatuhi hukuman pidana atau dikalahkan dalam sengketa perdata. Dalam hal ini pelaku harus mempertanggungjawabkan berdasarkan ketentuan syara’ meskipun akibat perbuatannya telah belalu. </w:t>
      </w:r>
      <w:r w:rsidRPr="00CE696F">
        <w:rPr>
          <w:rFonts w:ascii="Bookman Old Style" w:hAnsi="Bookman Old Style" w:cstheme="majorBidi"/>
          <w:i/>
          <w:iCs/>
        </w:rPr>
        <w:t xml:space="preserve">Ketiga, </w:t>
      </w:r>
      <w:r w:rsidRPr="00CE696F">
        <w:rPr>
          <w:rFonts w:ascii="Bookman Old Style" w:hAnsi="Bookman Old Style" w:cstheme="majorBidi"/>
        </w:rPr>
        <w:t xml:space="preserve">sebab </w:t>
      </w:r>
      <w:r w:rsidRPr="00CE696F">
        <w:rPr>
          <w:rFonts w:ascii="Bookman Old Style" w:hAnsi="Bookman Old Style" w:cstheme="majorBidi"/>
          <w:i/>
          <w:iCs/>
        </w:rPr>
        <w:t xml:space="preserve">urfi, </w:t>
      </w:r>
      <w:r w:rsidRPr="00CE696F">
        <w:rPr>
          <w:rFonts w:ascii="Bookman Old Style" w:hAnsi="Bookman Old Style" w:cstheme="majorBidi"/>
        </w:rPr>
        <w:t xml:space="preserve">yaitu sebab yang tidak menimbulkan akibat selain dua hal tersebut. Dengan kata lain, sebab </w:t>
      </w:r>
      <w:r w:rsidRPr="00CE696F">
        <w:rPr>
          <w:rFonts w:ascii="Bookman Old Style" w:hAnsi="Bookman Old Style" w:cstheme="majorBidi"/>
          <w:i/>
          <w:iCs/>
        </w:rPr>
        <w:t xml:space="preserve">urfi </w:t>
      </w:r>
      <w:r w:rsidRPr="00CE696F">
        <w:rPr>
          <w:rFonts w:ascii="Bookman Old Style" w:hAnsi="Bookman Old Style" w:cstheme="majorBidi"/>
        </w:rPr>
        <w:t>adalah suatu sebab yang kausalitasnya didasarkan pada kebiasaan akal pikiran masyarakat.</w:t>
      </w:r>
      <w:r w:rsidR="00776271">
        <w:rPr>
          <w:rFonts w:ascii="Bookman Old Style" w:hAnsi="Bookman Old Style" w:cstheme="majorBidi"/>
        </w:rPr>
        <w:fldChar w:fldCharType="begin" w:fldLock="1"/>
      </w:r>
      <w:r w:rsidR="00776271">
        <w:rPr>
          <w:rFonts w:ascii="Bookman Old Style" w:hAnsi="Bookman Old Style" w:cstheme="majorBidi"/>
        </w:rPr>
        <w:instrText>ADDIN CSL_CITATION {"citationItems":[{"id":"ITEM-1","itemData":{"author":[{"dropping-particle":"","family":"Imron Rosyadi","given":"","non-dropping-particle":"","parse-names":false,"suffix":""}],"id":"ITEM-1","issued":{"date-parts":[["2019"]]},"number-of-pages":"162","publisher":"Kencana Prenada Media Group","publisher-place":"Jakarta","title":"Akad Nominat Syariah: Implementasi dan Penyelesaian Sengketa","type":"book"},"uris":["http://www.mendeley.com/documents/?uuid=b5506990-1584-4b25-bdf3-7d8382617714"]}],"mendeley":{"formattedCitation":"(Imron Rosyadi, 2019)","plainTextFormattedCitation":"(Imron Rosyadi, 2019)","previouslyFormattedCitation":"(Imron Rosyadi, 2019)"},"properties":{"noteIndex":0},"schema":"https://github.com/citation-style-language/schema/raw/master/csl-citation.json"}</w:instrText>
      </w:r>
      <w:r w:rsidR="00776271">
        <w:rPr>
          <w:rFonts w:ascii="Bookman Old Style" w:hAnsi="Bookman Old Style" w:cstheme="majorBidi"/>
        </w:rPr>
        <w:fldChar w:fldCharType="separate"/>
      </w:r>
      <w:r w:rsidR="00776271" w:rsidRPr="00776271">
        <w:rPr>
          <w:rFonts w:ascii="Bookman Old Style" w:hAnsi="Bookman Old Style" w:cstheme="majorBidi"/>
          <w:noProof/>
        </w:rPr>
        <w:t>(Imron Rosyadi, 2019)</w:t>
      </w:r>
      <w:r w:rsidR="00776271">
        <w:rPr>
          <w:rFonts w:ascii="Bookman Old Style" w:hAnsi="Bookman Old Style" w:cstheme="majorBidi"/>
        </w:rPr>
        <w:fldChar w:fldCharType="end"/>
      </w:r>
    </w:p>
    <w:p w14:paraId="5105D071" w14:textId="61E905B0" w:rsidR="007176B2" w:rsidRPr="00CE696F" w:rsidRDefault="007176B2" w:rsidP="00CE696F">
      <w:pPr>
        <w:spacing w:after="0" w:line="240" w:lineRule="auto"/>
        <w:ind w:firstLine="720"/>
        <w:jc w:val="both"/>
        <w:rPr>
          <w:rFonts w:ascii="Bookman Old Style" w:hAnsi="Bookman Old Style" w:cstheme="majorBidi"/>
        </w:rPr>
      </w:pPr>
      <w:r w:rsidRPr="00CE696F">
        <w:rPr>
          <w:rFonts w:ascii="Bookman Old Style" w:hAnsi="Bookman Old Style" w:cstheme="majorBidi"/>
        </w:rPr>
        <w:t xml:space="preserve">Berdasarkan teori sebab </w:t>
      </w:r>
      <w:r w:rsidRPr="00CE696F">
        <w:rPr>
          <w:rFonts w:ascii="Bookman Old Style" w:hAnsi="Bookman Old Style" w:cstheme="majorBidi"/>
          <w:i/>
          <w:iCs/>
        </w:rPr>
        <w:t>urfi</w:t>
      </w:r>
      <w:r w:rsidRPr="00CE696F">
        <w:rPr>
          <w:rFonts w:ascii="Bookman Old Style" w:hAnsi="Bookman Old Style" w:cstheme="majorBidi"/>
        </w:rPr>
        <w:t xml:space="preserve">, pelaku harus bertanggung jawab akibat perbuatannya, meskipun sebab tersebut berangkai-rangkai, jika kebiasaan mengharuskan adanya pertanggungjawaban tersebut. Sebagai contoh, dalam sebuah kapal ada seseorang yang sengaja melubangi dinding kapal. Ketika kapal mulai miring, sebagian penumpang melompat keluar, lalu dimakan </w:t>
      </w:r>
      <w:r w:rsidRPr="00CE696F">
        <w:rPr>
          <w:rFonts w:ascii="Bookman Old Style" w:hAnsi="Bookman Old Style" w:cstheme="majorBidi"/>
        </w:rPr>
        <w:lastRenderedPageBreak/>
        <w:t>ikan hiau. Meskipun perbuatan tersebut tidak menyadi penyebab langsung kematian korban, namun perbuatan melubangi kapal tersebut dapat dimintai pertanggungjawaban atas kematian korban.</w:t>
      </w:r>
      <w:r w:rsidR="00776271">
        <w:rPr>
          <w:rFonts w:ascii="Bookman Old Style" w:hAnsi="Bookman Old Style" w:cstheme="majorBidi"/>
        </w:rPr>
        <w:fldChar w:fldCharType="begin" w:fldLock="1"/>
      </w:r>
      <w:r w:rsidR="00776271">
        <w:rPr>
          <w:rFonts w:ascii="Bookman Old Style" w:hAnsi="Bookman Old Style" w:cstheme="majorBidi"/>
        </w:rPr>
        <w:instrText>ADDIN CSL_CITATION {"citationItems":[{"id":"ITEM-1","itemData":{"author":[{"dropping-particle":"","family":"Imron Rosyadi","given":"","non-dropping-particle":"","parse-names":false,"suffix":""}],"id":"ITEM-1","issued":{"date-parts":[["2019"]]},"number-of-pages":"162","publisher":"Kencana Prenada Media Group","publisher-place":"Jakarta","title":"Akad Nominat Syariah: Implementasi dan Penyelesaian Sengketa","type":"book"},"uris":["http://www.mendeley.com/documents/?uuid=b5506990-1584-4b25-bdf3-7d8382617714"]}],"mendeley":{"formattedCitation":"(Imron Rosyadi, 2019)","plainTextFormattedCitation":"(Imron Rosyadi, 2019)","previouslyFormattedCitation":"(Imron Rosyadi, 2019)"},"properties":{"noteIndex":0},"schema":"https://github.com/citation-style-language/schema/raw/master/csl-citation.json"}</w:instrText>
      </w:r>
      <w:r w:rsidR="00776271">
        <w:rPr>
          <w:rFonts w:ascii="Bookman Old Style" w:hAnsi="Bookman Old Style" w:cstheme="majorBidi"/>
        </w:rPr>
        <w:fldChar w:fldCharType="separate"/>
      </w:r>
      <w:r w:rsidR="00776271" w:rsidRPr="00776271">
        <w:rPr>
          <w:rFonts w:ascii="Bookman Old Style" w:hAnsi="Bookman Old Style" w:cstheme="majorBidi"/>
          <w:noProof/>
        </w:rPr>
        <w:t>(Imron Rosyadi, 2019)</w:t>
      </w:r>
      <w:r w:rsidR="00776271">
        <w:rPr>
          <w:rFonts w:ascii="Bookman Old Style" w:hAnsi="Bookman Old Style" w:cstheme="majorBidi"/>
        </w:rPr>
        <w:fldChar w:fldCharType="end"/>
      </w:r>
    </w:p>
    <w:p w14:paraId="181E753C" w14:textId="3212C2A7" w:rsidR="00B61AAD" w:rsidRPr="00D3065E" w:rsidRDefault="007176B2" w:rsidP="00D3065E">
      <w:pPr>
        <w:pStyle w:val="FootnoteText"/>
        <w:ind w:firstLine="720"/>
        <w:jc w:val="both"/>
        <w:rPr>
          <w:rFonts w:ascii="Bookman Old Style" w:hAnsi="Bookman Old Style" w:cstheme="majorBidi"/>
          <w:sz w:val="22"/>
          <w:szCs w:val="22"/>
        </w:rPr>
      </w:pPr>
      <w:r w:rsidRPr="00D3065E">
        <w:rPr>
          <w:rFonts w:ascii="Bookman Old Style" w:hAnsi="Bookman Old Style" w:cstheme="majorBidi"/>
          <w:sz w:val="22"/>
          <w:szCs w:val="22"/>
        </w:rPr>
        <w:t xml:space="preserve">Penerapan sebab berdasarkan </w:t>
      </w:r>
      <w:r w:rsidR="00CE696F" w:rsidRPr="00D3065E">
        <w:rPr>
          <w:rFonts w:ascii="Bookman Old Style" w:hAnsi="Bookman Old Style" w:cstheme="majorBidi"/>
          <w:sz w:val="22"/>
          <w:szCs w:val="22"/>
        </w:rPr>
        <w:t>teori</w:t>
      </w:r>
      <w:r w:rsidRPr="00D3065E">
        <w:rPr>
          <w:rFonts w:ascii="Bookman Old Style" w:hAnsi="Bookman Old Style" w:cstheme="majorBidi"/>
          <w:sz w:val="22"/>
          <w:szCs w:val="22"/>
        </w:rPr>
        <w:t xml:space="preserve"> </w:t>
      </w:r>
      <w:r w:rsidRPr="00D3065E">
        <w:rPr>
          <w:rFonts w:ascii="Bookman Old Style" w:hAnsi="Bookman Old Style" w:cstheme="majorBidi"/>
          <w:i/>
          <w:iCs/>
          <w:sz w:val="22"/>
          <w:szCs w:val="22"/>
        </w:rPr>
        <w:t xml:space="preserve">urfi </w:t>
      </w:r>
      <w:r w:rsidRPr="00D3065E">
        <w:rPr>
          <w:rFonts w:ascii="Bookman Old Style" w:hAnsi="Bookman Old Style" w:cstheme="majorBidi"/>
          <w:sz w:val="22"/>
          <w:szCs w:val="22"/>
        </w:rPr>
        <w:t xml:space="preserve">ini membantu menemukan kausalitas antara sebab dan akibat menjadi elastis. </w:t>
      </w:r>
      <w:r w:rsidR="00D3065E" w:rsidRPr="00D3065E">
        <w:rPr>
          <w:rFonts w:ascii="Bookman Old Style" w:hAnsi="Bookman Old Style" w:cstheme="majorBidi"/>
          <w:sz w:val="22"/>
          <w:szCs w:val="22"/>
        </w:rPr>
        <w:t xml:space="preserve">Berdasarkan Pasal 451 ayat (2) Kompilasi Hukum Ekonomi Syariah (KHES). </w:t>
      </w:r>
      <w:r w:rsidRPr="00D3065E">
        <w:rPr>
          <w:rFonts w:ascii="Bookman Old Style" w:hAnsi="Bookman Old Style" w:cstheme="majorBidi"/>
          <w:sz w:val="22"/>
          <w:szCs w:val="22"/>
        </w:rPr>
        <w:t>Dalam hal ada dua sebab yang tidak langsung, hakim memutus sebab yang mana yang menyebabkan kerusakan atau penyusutan.</w:t>
      </w:r>
    </w:p>
    <w:p w14:paraId="291E46B1" w14:textId="5F788AB9" w:rsidR="00F74143" w:rsidRPr="00F74143" w:rsidRDefault="0044142D" w:rsidP="00F74143">
      <w:pPr>
        <w:pStyle w:val="ListParagraph"/>
        <w:numPr>
          <w:ilvl w:val="0"/>
          <w:numId w:val="1"/>
        </w:numPr>
        <w:spacing w:after="0" w:line="240" w:lineRule="auto"/>
        <w:jc w:val="both"/>
        <w:rPr>
          <w:rFonts w:ascii="Bookman Old Style" w:hAnsi="Bookman Old Style" w:cstheme="majorBidi"/>
          <w:b/>
          <w:bCs/>
          <w:rtl/>
        </w:rPr>
      </w:pPr>
      <w:r>
        <w:rPr>
          <w:rFonts w:ascii="Bookman Old Style" w:hAnsi="Bookman Old Style" w:cstheme="majorBidi"/>
          <w:b/>
          <w:bCs/>
        </w:rPr>
        <w:t xml:space="preserve">Pertanggungjawaban Hukum dan Ganti Rugi Akibat Perbuatan Melawan Hukum </w:t>
      </w:r>
      <w:r w:rsidR="00AA4E95">
        <w:rPr>
          <w:rFonts w:ascii="Bookman Old Style" w:hAnsi="Bookman Old Style" w:cstheme="majorBidi"/>
          <w:b/>
          <w:bCs/>
        </w:rPr>
        <w:t>Perspektif</w:t>
      </w:r>
      <w:r>
        <w:rPr>
          <w:rFonts w:ascii="Bookman Old Style" w:hAnsi="Bookman Old Style" w:cstheme="majorBidi"/>
          <w:b/>
          <w:bCs/>
        </w:rPr>
        <w:t xml:space="preserve"> Hukum Ekonomi Syariah</w:t>
      </w:r>
    </w:p>
    <w:p w14:paraId="49446A56" w14:textId="17C65918" w:rsidR="00A6511F" w:rsidRPr="00A6511F" w:rsidRDefault="00A6511F" w:rsidP="00D9546F">
      <w:pPr>
        <w:spacing w:after="0" w:line="240" w:lineRule="auto"/>
        <w:ind w:firstLine="720"/>
        <w:jc w:val="both"/>
        <w:rPr>
          <w:rFonts w:ascii="Bookman Old Style" w:hAnsi="Bookman Old Style" w:cstheme="majorBidi"/>
        </w:rPr>
      </w:pPr>
      <w:r>
        <w:rPr>
          <w:rFonts w:ascii="Bookman Old Style" w:hAnsi="Bookman Old Style" w:cstheme="majorBidi"/>
        </w:rPr>
        <w:t xml:space="preserve">Konsep </w:t>
      </w:r>
      <w:r>
        <w:rPr>
          <w:rFonts w:ascii="Bookman Old Style" w:hAnsi="Bookman Old Style" w:cstheme="majorBidi"/>
          <w:i/>
          <w:iCs/>
        </w:rPr>
        <w:t xml:space="preserve">dhamân </w:t>
      </w:r>
      <w:r>
        <w:rPr>
          <w:rFonts w:ascii="Bookman Old Style" w:hAnsi="Bookman Old Style" w:cstheme="majorBidi"/>
        </w:rPr>
        <w:t xml:space="preserve">atau pertanggungjawaban sudah mendapat perhatian pakar hukum Islam sejak lama. Bahkan seorang ulama dari kalangan ulama </w:t>
      </w:r>
      <w:r>
        <w:rPr>
          <w:rFonts w:ascii="Bookman Old Style" w:hAnsi="Bookman Old Style" w:cstheme="majorBidi"/>
          <w:u w:val="single"/>
        </w:rPr>
        <w:t>H</w:t>
      </w:r>
      <w:r>
        <w:rPr>
          <w:rFonts w:ascii="Bookman Old Style" w:hAnsi="Bookman Old Style" w:cstheme="majorBidi"/>
        </w:rPr>
        <w:t>anafiyyah bernama Abu Muhammad Ghanim Ibn Muhammad al-Baghdadi al-</w:t>
      </w:r>
      <w:r>
        <w:rPr>
          <w:rFonts w:ascii="Bookman Old Style" w:hAnsi="Bookman Old Style" w:cstheme="majorBidi"/>
          <w:u w:val="single"/>
        </w:rPr>
        <w:t>H</w:t>
      </w:r>
      <w:r>
        <w:rPr>
          <w:rFonts w:ascii="Bookman Old Style" w:hAnsi="Bookman Old Style" w:cstheme="majorBidi"/>
        </w:rPr>
        <w:t xml:space="preserve">anafi (w. 1030 H) menulis sebuah buku khusus yang berisi kompilasi hukum-hukum </w:t>
      </w:r>
      <w:r>
        <w:rPr>
          <w:rFonts w:ascii="Bookman Old Style" w:hAnsi="Bookman Old Style" w:cstheme="majorBidi"/>
          <w:i/>
          <w:iCs/>
        </w:rPr>
        <w:t xml:space="preserve">dhamân </w:t>
      </w:r>
      <w:r>
        <w:rPr>
          <w:rFonts w:ascii="Bookman Old Style" w:hAnsi="Bookman Old Style" w:cstheme="majorBidi"/>
        </w:rPr>
        <w:t>yang diberi jud</w:t>
      </w:r>
      <w:r w:rsidR="002F407F">
        <w:rPr>
          <w:rFonts w:ascii="Bookman Old Style" w:hAnsi="Bookman Old Style" w:cstheme="majorBidi"/>
        </w:rPr>
        <w:t>u</w:t>
      </w:r>
      <w:r>
        <w:rPr>
          <w:rFonts w:ascii="Bookman Old Style" w:hAnsi="Bookman Old Style" w:cstheme="majorBidi"/>
        </w:rPr>
        <w:t>l “</w:t>
      </w:r>
      <w:r>
        <w:rPr>
          <w:rFonts w:ascii="Bookman Old Style" w:hAnsi="Bookman Old Style" w:cstheme="majorBidi"/>
          <w:i/>
          <w:iCs/>
        </w:rPr>
        <w:t>Majmâ al-Dhamânâ</w:t>
      </w:r>
      <w:r>
        <w:rPr>
          <w:rFonts w:ascii="Bookman Old Style" w:hAnsi="Bookman Old Style" w:cstheme="majorBidi"/>
          <w:i/>
          <w:iCs/>
          <w:u w:val="single"/>
        </w:rPr>
        <w:t>t</w:t>
      </w:r>
      <w:r>
        <w:rPr>
          <w:rFonts w:ascii="Bookman Old Style" w:hAnsi="Bookman Old Style" w:cstheme="majorBidi"/>
          <w:i/>
          <w:iCs/>
        </w:rPr>
        <w:t>”</w:t>
      </w:r>
      <w:r>
        <w:rPr>
          <w:rFonts w:ascii="Bookman Old Style" w:hAnsi="Bookman Old Style" w:cstheme="majorBidi"/>
        </w:rPr>
        <w:t>.</w:t>
      </w:r>
      <w:r w:rsidR="00776271">
        <w:rPr>
          <w:rFonts w:ascii="Bookman Old Style" w:hAnsi="Bookman Old Style" w:cstheme="majorBidi"/>
        </w:rPr>
        <w:fldChar w:fldCharType="begin" w:fldLock="1"/>
      </w:r>
      <w:r w:rsidR="00B95F8E">
        <w:rPr>
          <w:rFonts w:ascii="Bookman Old Style" w:hAnsi="Bookman Old Style" w:cstheme="majorBidi"/>
        </w:rPr>
        <w:instrText>ADDIN CSL_CITATION {"citationItems":[{"id":"ITEM-1","itemData":{"author":[{"dropping-particle":"","family":"Abu Muhammad Ghanim","given":"","non-dropping-particle":"","parse-names":false,"suffix":""}],"id":"ITEM-1","issued":{"date-parts":[["2013"]]},"publisher":"Dâr al-Salâm","publisher-place":"Kairo","title":"Majmâ al-Dhamânât","type":"book"},"uris":["http://www.mendeley.com/documents/?uuid=aadb062f-e3e9-4e7e-b87c-551f8380c5f1"]}],"mendeley":{"formattedCitation":"(Abu Muhammad Ghanim, 2013)","plainTextFormattedCitation":"(Abu Muhammad Ghanim, 2013)","previouslyFormattedCitation":"(Abu Muhammad Ghanim, 2013)"},"properties":{"noteIndex":0},"schema":"https://github.com/citation-style-language/schema/raw/master/csl-citation.json"}</w:instrText>
      </w:r>
      <w:r w:rsidR="00776271">
        <w:rPr>
          <w:rFonts w:ascii="Bookman Old Style" w:hAnsi="Bookman Old Style" w:cstheme="majorBidi"/>
        </w:rPr>
        <w:fldChar w:fldCharType="separate"/>
      </w:r>
      <w:r w:rsidR="00776271" w:rsidRPr="00776271">
        <w:rPr>
          <w:rFonts w:ascii="Bookman Old Style" w:hAnsi="Bookman Old Style" w:cstheme="majorBidi"/>
          <w:noProof/>
        </w:rPr>
        <w:t>(Abu Muhammad Ghanim, 2013)</w:t>
      </w:r>
      <w:r w:rsidR="00776271">
        <w:rPr>
          <w:rFonts w:ascii="Bookman Old Style" w:hAnsi="Bookman Old Style" w:cstheme="majorBidi"/>
        </w:rPr>
        <w:fldChar w:fldCharType="end"/>
      </w:r>
    </w:p>
    <w:p w14:paraId="2D677F0E" w14:textId="5E25EE5E" w:rsidR="009B109C" w:rsidRDefault="00F74143" w:rsidP="00D9546F">
      <w:pPr>
        <w:spacing w:after="0" w:line="240" w:lineRule="auto"/>
        <w:ind w:firstLine="720"/>
        <w:jc w:val="both"/>
        <w:rPr>
          <w:rFonts w:ascii="Bookman Old Style" w:hAnsi="Bookman Old Style" w:cstheme="majorBidi"/>
        </w:rPr>
      </w:pPr>
      <w:r w:rsidRPr="00F74143">
        <w:rPr>
          <w:rFonts w:ascii="Bookman Old Style" w:hAnsi="Bookman Old Style" w:cstheme="majorBidi"/>
        </w:rPr>
        <w:t xml:space="preserve">Dalam kajian </w:t>
      </w:r>
      <w:r>
        <w:rPr>
          <w:rFonts w:ascii="Bookman Old Style" w:hAnsi="Bookman Old Style" w:cstheme="majorBidi"/>
        </w:rPr>
        <w:t>hukum ekonomi syariah</w:t>
      </w:r>
      <w:r w:rsidRPr="00F74143">
        <w:rPr>
          <w:rFonts w:ascii="Bookman Old Style" w:hAnsi="Bookman Old Style" w:cstheme="majorBidi"/>
        </w:rPr>
        <w:t xml:space="preserve"> terdapat konsep mengenai jaminan ganti rugi yang sering disebut dengan istilah </w:t>
      </w:r>
      <w:r w:rsidRPr="00F74143">
        <w:rPr>
          <w:rFonts w:ascii="Bookman Old Style" w:hAnsi="Bookman Old Style" w:cstheme="majorBidi"/>
          <w:i/>
          <w:iCs/>
        </w:rPr>
        <w:t xml:space="preserve">al-dhamân </w:t>
      </w:r>
      <w:r w:rsidRPr="00F74143">
        <w:rPr>
          <w:rFonts w:ascii="Bookman Old Style" w:hAnsi="Bookman Old Style" w:cstheme="majorBidi"/>
        </w:rPr>
        <w:t xml:space="preserve">atau </w:t>
      </w:r>
      <w:r w:rsidRPr="00F74143">
        <w:rPr>
          <w:rFonts w:ascii="Bookman Old Style" w:hAnsi="Bookman Old Style" w:cstheme="majorBidi"/>
          <w:i/>
          <w:iCs/>
        </w:rPr>
        <w:t>al-kafâlah</w:t>
      </w:r>
      <w:r>
        <w:rPr>
          <w:rFonts w:ascii="Bookman Old Style" w:hAnsi="Bookman Old Style" w:cstheme="majorBidi"/>
        </w:rPr>
        <w:t xml:space="preserve">. </w:t>
      </w:r>
      <w:r>
        <w:rPr>
          <w:rFonts w:ascii="Bookman Old Style" w:hAnsi="Bookman Old Style" w:cstheme="majorBidi"/>
          <w:i/>
          <w:iCs/>
        </w:rPr>
        <w:t xml:space="preserve">Dhamân </w:t>
      </w:r>
      <w:r>
        <w:rPr>
          <w:rFonts w:ascii="Bookman Old Style" w:hAnsi="Bookman Old Style" w:cstheme="majorBidi"/>
        </w:rPr>
        <w:t>dalam hukum ekonomi syariah terbagi menjadi 2 (dua) maca, yaitu:</w:t>
      </w:r>
      <w:r w:rsidR="00B95F8E">
        <w:rPr>
          <w:rFonts w:ascii="Bookman Old Style" w:hAnsi="Bookman Old Style" w:cstheme="majorBidi"/>
        </w:rPr>
        <w:fldChar w:fldCharType="begin" w:fldLock="1"/>
      </w:r>
      <w:r w:rsidR="00B95F8E">
        <w:rPr>
          <w:rFonts w:ascii="Bookman Old Style" w:hAnsi="Bookman Old Style" w:cstheme="majorBidi"/>
        </w:rPr>
        <w:instrText>ADDIN CSL_CITATION {"citationItems":[{"id":"ITEM-1","itemData":{"author":[{"dropping-particle":"","family":"Desmadi Saharuddin","given":"","non-dropping-particle":"","parse-names":false,"suffix":""}],"id":"ITEM-1","issued":{"date-parts":[["2015"]]},"number-of-pages":"34-35","publisher":"Kencana Prenada Media Group","publisher-place":"Jakarta","title":"Pembayaran Ganti Rugi pada Asuransi Syariah","type":"book"},"uris":["http://www.mendeley.com/documents/?uuid=153aadb2-fc60-456e-9013-6922a93195da"]}],"mendeley":{"formattedCitation":"(Desmadi Saharuddin, 2015)","plainTextFormattedCitation":"(Desmadi Saharuddin, 2015)","previouslyFormattedCitation":"(Desmadi Saharuddin, 2015)"},"properties":{"noteIndex":0},"schema":"https://github.com/citation-style-language/schema/raw/master/csl-citation.json"}</w:instrText>
      </w:r>
      <w:r w:rsidR="00B95F8E">
        <w:rPr>
          <w:rFonts w:ascii="Bookman Old Style" w:hAnsi="Bookman Old Style" w:cstheme="majorBidi"/>
        </w:rPr>
        <w:fldChar w:fldCharType="separate"/>
      </w:r>
      <w:r w:rsidR="00B95F8E" w:rsidRPr="00B95F8E">
        <w:rPr>
          <w:rFonts w:ascii="Bookman Old Style" w:hAnsi="Bookman Old Style" w:cstheme="majorBidi"/>
          <w:noProof/>
        </w:rPr>
        <w:t>(Desmadi Saharuddin, 2015)</w:t>
      </w:r>
      <w:r w:rsidR="00B95F8E">
        <w:rPr>
          <w:rFonts w:ascii="Bookman Old Style" w:hAnsi="Bookman Old Style" w:cstheme="majorBidi"/>
        </w:rPr>
        <w:fldChar w:fldCharType="end"/>
      </w:r>
      <w:r>
        <w:rPr>
          <w:rFonts w:ascii="Bookman Old Style" w:hAnsi="Bookman Old Style" w:cstheme="majorBidi"/>
        </w:rPr>
        <w:t xml:space="preserve"> </w:t>
      </w:r>
      <w:r>
        <w:rPr>
          <w:rFonts w:ascii="Bookman Old Style" w:hAnsi="Bookman Old Style" w:cstheme="majorBidi"/>
          <w:i/>
          <w:iCs/>
        </w:rPr>
        <w:t xml:space="preserve">pertama, dhamân </w:t>
      </w:r>
      <w:r>
        <w:rPr>
          <w:rFonts w:ascii="Bookman Old Style" w:hAnsi="Bookman Old Style" w:cstheme="majorBidi"/>
        </w:rPr>
        <w:t xml:space="preserve">dengan maksud ganti rugi, sebagaimana yang terdapat dalam </w:t>
      </w:r>
      <w:r>
        <w:rPr>
          <w:rFonts w:ascii="Bookman Old Style" w:hAnsi="Bookman Old Style" w:cstheme="majorBidi"/>
          <w:i/>
          <w:iCs/>
        </w:rPr>
        <w:t>majallah al-A</w:t>
      </w:r>
      <w:r>
        <w:rPr>
          <w:rFonts w:ascii="Bookman Old Style" w:hAnsi="Bookman Old Style" w:cstheme="majorBidi"/>
          <w:i/>
          <w:iCs/>
          <w:u w:val="single"/>
        </w:rPr>
        <w:t>h</w:t>
      </w:r>
      <w:r>
        <w:rPr>
          <w:rFonts w:ascii="Bookman Old Style" w:hAnsi="Bookman Old Style" w:cstheme="majorBidi"/>
          <w:i/>
          <w:iCs/>
        </w:rPr>
        <w:t xml:space="preserve">kâm al-‘Adliyyah, </w:t>
      </w:r>
      <w:r>
        <w:rPr>
          <w:rFonts w:ascii="Bookman Old Style" w:hAnsi="Bookman Old Style" w:cstheme="majorBidi"/>
        </w:rPr>
        <w:t xml:space="preserve">yaitu suatu bentuk penyerahan harta benda pada orang lain, apabila harta tersebut berupa </w:t>
      </w:r>
      <w:r>
        <w:rPr>
          <w:rFonts w:ascii="Bookman Old Style" w:hAnsi="Bookman Old Style" w:cstheme="majorBidi"/>
          <w:i/>
          <w:iCs/>
        </w:rPr>
        <w:t>al-mitsli</w:t>
      </w:r>
      <w:r>
        <w:rPr>
          <w:rFonts w:ascii="Bookman Old Style" w:hAnsi="Bookman Old Style" w:cstheme="majorBidi"/>
        </w:rPr>
        <w:t xml:space="preserve"> (harta yang terdapat padanannya pad amasyarakat), maka yang harus diserhakan adalah harta </w:t>
      </w:r>
      <w:r>
        <w:rPr>
          <w:rFonts w:ascii="Bookman Old Style" w:hAnsi="Bookman Old Style" w:cstheme="majorBidi"/>
          <w:i/>
          <w:iCs/>
        </w:rPr>
        <w:t xml:space="preserve">al-mitsli </w:t>
      </w:r>
      <w:r>
        <w:rPr>
          <w:rFonts w:ascii="Bookman Old Style" w:hAnsi="Bookman Old Style" w:cstheme="majorBidi"/>
        </w:rPr>
        <w:t xml:space="preserve">pula, namun apabila harta </w:t>
      </w:r>
      <w:r>
        <w:rPr>
          <w:rFonts w:ascii="Bookman Old Style" w:hAnsi="Bookman Old Style" w:cstheme="majorBidi"/>
          <w:i/>
          <w:iCs/>
        </w:rPr>
        <w:t xml:space="preserve">qimmi </w:t>
      </w:r>
      <w:r>
        <w:rPr>
          <w:rFonts w:ascii="Bookman Old Style" w:hAnsi="Bookman Old Style" w:cstheme="majorBidi"/>
        </w:rPr>
        <w:t xml:space="preserve">(harta yang tidak terdapat padanannya di masyarakat), maka keharusan mengembalikan dalam bentuk nilai (harganya). </w:t>
      </w:r>
    </w:p>
    <w:p w14:paraId="68F62D0C" w14:textId="3514130A" w:rsidR="00F74143" w:rsidRDefault="00F74143" w:rsidP="00D9546F">
      <w:pPr>
        <w:spacing w:after="0" w:line="240" w:lineRule="auto"/>
        <w:ind w:firstLine="720"/>
        <w:jc w:val="both"/>
        <w:rPr>
          <w:rFonts w:ascii="Bookman Old Style" w:hAnsi="Bookman Old Style" w:cstheme="majorBidi"/>
        </w:rPr>
      </w:pPr>
      <w:r>
        <w:rPr>
          <w:rFonts w:ascii="Bookman Old Style" w:hAnsi="Bookman Old Style" w:cstheme="majorBidi"/>
        </w:rPr>
        <w:t xml:space="preserve">Dalam berbagai mazhab fikih (hukum Islam) kita temui bahwa jaminan ganti rugi tidak hanya diberikan sebatas pada kerugian harta benda saja, akan tetapi juga terhadap semua bentuk kerugian, seperti kerugian yang disebabkan oleh hilangnya keuntungan yang diharapkan, kerugian pihak ketiga, kerugian karena kecurian, kerugian yang berkaitan dengan hak, dan sebagainya; </w:t>
      </w:r>
      <w:r>
        <w:rPr>
          <w:rFonts w:ascii="Bookman Old Style" w:hAnsi="Bookman Old Style" w:cstheme="majorBidi"/>
          <w:i/>
          <w:iCs/>
        </w:rPr>
        <w:t>kedua</w:t>
      </w:r>
      <w:r>
        <w:rPr>
          <w:rFonts w:ascii="Bookman Old Style" w:hAnsi="Bookman Old Style" w:cstheme="majorBidi"/>
        </w:rPr>
        <w:t xml:space="preserve">, </w:t>
      </w:r>
      <w:r>
        <w:rPr>
          <w:rFonts w:ascii="Bookman Old Style" w:hAnsi="Bookman Old Style" w:cstheme="majorBidi"/>
          <w:i/>
          <w:iCs/>
        </w:rPr>
        <w:t xml:space="preserve">dhamân </w:t>
      </w:r>
      <w:r>
        <w:rPr>
          <w:rFonts w:ascii="Bookman Old Style" w:hAnsi="Bookman Old Style" w:cstheme="majorBidi"/>
        </w:rPr>
        <w:t>dengan maksud tanggung jawab (</w:t>
      </w:r>
      <w:r>
        <w:rPr>
          <w:rFonts w:ascii="Bookman Old Style" w:hAnsi="Bookman Old Style" w:cstheme="majorBidi"/>
          <w:i/>
          <w:iCs/>
        </w:rPr>
        <w:t>al-kafâlah</w:t>
      </w:r>
      <w:r>
        <w:rPr>
          <w:rFonts w:ascii="Bookman Old Style" w:hAnsi="Bookman Old Style" w:cstheme="majorBidi"/>
        </w:rPr>
        <w:t xml:space="preserve">), sebagaimana yang didefinisikan mazhab Maliki, yaitu “Menimakkan suatu tanggung jawab pada orang lain dengan alasan yang bernar”. </w:t>
      </w:r>
      <w:r w:rsidR="004B7050">
        <w:rPr>
          <w:rFonts w:ascii="Bookman Old Style" w:hAnsi="Bookman Old Style" w:cstheme="majorBidi"/>
        </w:rPr>
        <w:t xml:space="preserve">Adapun </w:t>
      </w:r>
      <w:r w:rsidR="004B7050">
        <w:rPr>
          <w:rFonts w:ascii="Bookman Old Style" w:hAnsi="Bookman Old Style" w:cstheme="majorBidi"/>
          <w:i/>
          <w:iCs/>
        </w:rPr>
        <w:t xml:space="preserve">kafâlah </w:t>
      </w:r>
      <w:r w:rsidR="004B7050">
        <w:rPr>
          <w:rFonts w:ascii="Bookman Old Style" w:hAnsi="Bookman Old Style" w:cstheme="majorBidi"/>
        </w:rPr>
        <w:t xml:space="preserve">dengan ari </w:t>
      </w:r>
      <w:r w:rsidR="004B7050">
        <w:rPr>
          <w:rFonts w:ascii="Bookman Old Style" w:hAnsi="Bookman Old Style" w:cstheme="majorBidi"/>
          <w:i/>
          <w:iCs/>
        </w:rPr>
        <w:t xml:space="preserve">al-dhamân </w:t>
      </w:r>
      <w:r w:rsidR="004B7050">
        <w:rPr>
          <w:rFonts w:ascii="Bookman Old Style" w:hAnsi="Bookman Old Style" w:cstheme="majorBidi"/>
        </w:rPr>
        <w:t xml:space="preserve">terbagi kepada 3 (tiga) bentuk, yaitu: </w:t>
      </w:r>
      <w:r w:rsidR="004B7050">
        <w:rPr>
          <w:rFonts w:ascii="Bookman Old Style" w:hAnsi="Bookman Old Style" w:cstheme="majorBidi"/>
          <w:i/>
          <w:iCs/>
        </w:rPr>
        <w:t xml:space="preserve">kafâlah bi al-dain, kafâlah bi al-‘ain </w:t>
      </w:r>
      <w:r w:rsidR="004B7050">
        <w:rPr>
          <w:rFonts w:ascii="Bookman Old Style" w:hAnsi="Bookman Old Style" w:cstheme="majorBidi"/>
        </w:rPr>
        <w:t xml:space="preserve">dan </w:t>
      </w:r>
      <w:r w:rsidR="004B7050">
        <w:rPr>
          <w:rFonts w:ascii="Bookman Old Style" w:hAnsi="Bookman Old Style" w:cstheme="majorBidi"/>
          <w:i/>
          <w:iCs/>
        </w:rPr>
        <w:t>kafâlah bi al-nafs</w:t>
      </w:r>
      <w:r w:rsidR="004B7050">
        <w:rPr>
          <w:rFonts w:ascii="Bookman Old Style" w:hAnsi="Bookman Old Style" w:cstheme="majorBidi"/>
        </w:rPr>
        <w:t>.</w:t>
      </w:r>
      <w:r w:rsidR="00B95F8E">
        <w:rPr>
          <w:rFonts w:ascii="Bookman Old Style" w:hAnsi="Bookman Old Style" w:cstheme="majorBidi"/>
        </w:rPr>
        <w:fldChar w:fldCharType="begin" w:fldLock="1"/>
      </w:r>
      <w:r w:rsidR="00B95F8E">
        <w:rPr>
          <w:rFonts w:ascii="Bookman Old Style" w:hAnsi="Bookman Old Style" w:cstheme="majorBidi"/>
        </w:rPr>
        <w:instrText>ADDIN CSL_CITATION {"citationItems":[{"id":"ITEM-1","itemData":{"author":[{"dropping-particle":"","family":"Adam","given":"Panji","non-dropping-particle":"","parse-names":false,"suffix":""}],"id":"ITEM-1","issued":{"date-parts":[["2017"]]},"number-of-pages":"141","publisher":"Refika Aditama","publisher-place":"Bandung","title":"Fikih Muâmalah Mâliyah: Konsep, Regulasi dan Implementasi","type":"book"},"uris":["http://www.mendeley.com/documents/?uuid=64be3f0a-8026-43fb-a6d9-c82ca7d729b5"]}],"mendeley":{"formattedCitation":"(Adam, 2017)","plainTextFormattedCitation":"(Adam, 2017)","previouslyFormattedCitation":"(Adam, 2017)"},"properties":{"noteIndex":0},"schema":"https://github.com/citation-style-language/schema/raw/master/csl-citation.json"}</w:instrText>
      </w:r>
      <w:r w:rsidR="00B95F8E">
        <w:rPr>
          <w:rFonts w:ascii="Bookman Old Style" w:hAnsi="Bookman Old Style" w:cstheme="majorBidi"/>
        </w:rPr>
        <w:fldChar w:fldCharType="separate"/>
      </w:r>
      <w:r w:rsidR="00B95F8E" w:rsidRPr="00B95F8E">
        <w:rPr>
          <w:rFonts w:ascii="Bookman Old Style" w:hAnsi="Bookman Old Style" w:cstheme="majorBidi"/>
          <w:noProof/>
        </w:rPr>
        <w:t>(Adam, 2017)</w:t>
      </w:r>
      <w:r w:rsidR="00B95F8E">
        <w:rPr>
          <w:rFonts w:ascii="Bookman Old Style" w:hAnsi="Bookman Old Style" w:cstheme="majorBidi"/>
        </w:rPr>
        <w:fldChar w:fldCharType="end"/>
      </w:r>
    </w:p>
    <w:p w14:paraId="3DEE9AE9" w14:textId="37D16D0F" w:rsidR="009B109C" w:rsidRPr="009B109C" w:rsidRDefault="009B109C" w:rsidP="009B109C">
      <w:pPr>
        <w:spacing w:after="0" w:line="240" w:lineRule="auto"/>
        <w:ind w:firstLine="720"/>
        <w:jc w:val="both"/>
        <w:rPr>
          <w:rFonts w:ascii="Bookman Old Style" w:hAnsi="Bookman Old Style" w:cstheme="majorBidi"/>
        </w:rPr>
      </w:pPr>
      <w:r>
        <w:rPr>
          <w:rFonts w:ascii="Bookman Old Style" w:hAnsi="Bookman Old Style" w:cstheme="majorBidi"/>
        </w:rPr>
        <w:t xml:space="preserve">Konsep </w:t>
      </w:r>
      <w:r>
        <w:rPr>
          <w:rFonts w:ascii="Bookman Old Style" w:hAnsi="Bookman Old Style" w:cstheme="majorBidi"/>
          <w:i/>
          <w:iCs/>
        </w:rPr>
        <w:t xml:space="preserve">dhamân </w:t>
      </w:r>
      <w:r>
        <w:rPr>
          <w:rFonts w:ascii="Bookman Old Style" w:hAnsi="Bookman Old Style" w:cstheme="majorBidi"/>
        </w:rPr>
        <w:t xml:space="preserve">dalam hukum Islam memiliki tujuan untuk menghilangkan kemudaratan, yaitu menghilangkan kerugian yang diderita oleh pihak yang dirugikan akibat wanprestasi atau perbuatan melawan hukum. Terdapat nilai keseimbangan dalam konsep </w:t>
      </w:r>
      <w:r>
        <w:rPr>
          <w:rFonts w:ascii="Bookman Old Style" w:hAnsi="Bookman Old Style" w:cstheme="majorBidi"/>
          <w:i/>
          <w:iCs/>
        </w:rPr>
        <w:t xml:space="preserve">dhamân </w:t>
      </w:r>
      <w:r>
        <w:rPr>
          <w:rFonts w:ascii="Bookman Old Style" w:hAnsi="Bookman Old Style" w:cstheme="majorBidi"/>
        </w:rPr>
        <w:t xml:space="preserve">dalam Islam, yaitu keseimbangan perkara dunia dan akhirat. Perkara dunia, konsep </w:t>
      </w:r>
      <w:r>
        <w:rPr>
          <w:rFonts w:ascii="Bookman Old Style" w:hAnsi="Bookman Old Style" w:cstheme="majorBidi"/>
          <w:i/>
          <w:iCs/>
        </w:rPr>
        <w:t xml:space="preserve">dhamân </w:t>
      </w:r>
      <w:r>
        <w:rPr>
          <w:rFonts w:ascii="Bookman Old Style" w:hAnsi="Bookman Old Style" w:cstheme="majorBidi"/>
        </w:rPr>
        <w:t xml:space="preserve">berkaitan dengan psikis, kehormaran serta harta benda. Adapun perkara ukhrawi, konsep </w:t>
      </w:r>
      <w:r>
        <w:rPr>
          <w:rFonts w:ascii="Bookman Old Style" w:hAnsi="Bookman Old Style" w:cstheme="majorBidi"/>
          <w:i/>
          <w:iCs/>
        </w:rPr>
        <w:t xml:space="preserve">dhamân </w:t>
      </w:r>
      <w:r>
        <w:rPr>
          <w:rFonts w:ascii="Bookman Old Style" w:hAnsi="Bookman Old Style" w:cstheme="majorBidi"/>
        </w:rPr>
        <w:t xml:space="preserve">merupakan </w:t>
      </w:r>
      <w:r>
        <w:rPr>
          <w:rFonts w:ascii="Bookman Old Style" w:hAnsi="Bookman Old Style" w:cstheme="majorBidi"/>
          <w:i/>
          <w:iCs/>
        </w:rPr>
        <w:t xml:space="preserve">dain </w:t>
      </w:r>
      <w:r>
        <w:rPr>
          <w:rFonts w:ascii="Bookman Old Style" w:hAnsi="Bookman Old Style" w:cstheme="majorBidi"/>
        </w:rPr>
        <w:t>(utang) yang harus di bayar agar tidak berimpiliasi menjadi tuntutan kelak di akhirat.</w:t>
      </w:r>
      <w:r>
        <w:rPr>
          <w:rFonts w:ascii="Bookman Old Style" w:hAnsi="Bookman Old Style" w:cstheme="majorBidi"/>
        </w:rPr>
        <w:fldChar w:fldCharType="begin" w:fldLock="1"/>
      </w:r>
      <w:r w:rsidR="00BA394D">
        <w:rPr>
          <w:rFonts w:ascii="Bookman Old Style" w:hAnsi="Bookman Old Style" w:cstheme="majorBidi"/>
        </w:rPr>
        <w:instrText>ADDIN CSL_CITATION {"citationItems":[{"id":"ITEM-1","itemData":{"DOI":"10.31849/respublica.v16i2.1438","ISSN":"1412-2871","abstract":"Tujuan penelitian untuk menjelaskan hakikat ganti rugi (dhaman) berdasarkan perspektif hukum ekonomi syariah dan hukum perdata Indonesia. Metode penelitian yang digunakan hukum normatif (legal research) dengan menfokuskan perbandingan hukum. Hasil penelitian ini dapat dijelaskan Indonesia menganut dual system dalam hal penerapan hukum ekonomi, yaitu hukum ekonomi syariah dan hukum perdata Indonesia. Implikasi dari dual system tersebut berpengaruh kepada seluruh aspek bisnis termasuk dalam konsep ganti rugi. Dhaman (ganti rugi) merupakan pemenuhan kewajiban berupa ganti kerugian oleh pihak yang merugikan atas hak dari pihak yang dirugikan baik berupa kerugian material maupun immaterial yang timbul pada saat pra-kontraktual, kontraktual dan pasca kontraktual. Dalam penelitian ini dapat disimpulkan bahwa hakikat ganti rugi menurut hukum perdata Indonesia mengacu kepada KUH Perdata di mana setiap penggantian kerugian baik itu material maupun immaterial selalu dijumlahkan dengan sejumlah uang. Hakikat ganti rugi dalam konsep hukum ekonomi syariah tidak menyebutkan dengan apa mesti diganti, boleh saja dengan uang atau bisa saja dengan jasa dan bahkan dianjurkan untuk memberi maaf kepada pihak yang merugikan tersebut.","author":[{"dropping-particle":"","family":"Firmanda","given":"Hengki","non-dropping-particle":"","parse-names":false,"suffix":""}],"container-title":"Jurnal Hukum Respublica","id":"ITEM-1","issue":"2","issued":{"date-parts":[["2018"]]},"page":"236-251","title":"Hakikat Ganti Rugi Dalam Perspektif Hukum Ekonomi Syariah dan Hukum Perdata Indonesia","type":"article-journal","volume":"16"},"uris":["http://www.mendeley.com/documents/?uuid=82739e53-2e25-43e0-aaa1-efe366af1018"]}],"mendeley":{"formattedCitation":"(Firmanda, 2018)","plainTextFormattedCitation":"(Firmanda, 2018)","previouslyFormattedCitation":"(Firmanda, 2018)"},"properties":{"noteIndex":0},"schema":"https://github.com/citation-style-language/schema/raw/master/csl-citation.json"}</w:instrText>
      </w:r>
      <w:r>
        <w:rPr>
          <w:rFonts w:ascii="Bookman Old Style" w:hAnsi="Bookman Old Style" w:cstheme="majorBidi"/>
        </w:rPr>
        <w:fldChar w:fldCharType="separate"/>
      </w:r>
      <w:r w:rsidRPr="009B109C">
        <w:rPr>
          <w:rFonts w:ascii="Bookman Old Style" w:hAnsi="Bookman Old Style" w:cstheme="majorBidi"/>
          <w:noProof/>
        </w:rPr>
        <w:t>(Firmanda, 2018)</w:t>
      </w:r>
      <w:r>
        <w:rPr>
          <w:rFonts w:ascii="Bookman Old Style" w:hAnsi="Bookman Old Style" w:cstheme="majorBidi"/>
        </w:rPr>
        <w:fldChar w:fldCharType="end"/>
      </w:r>
      <w:r w:rsidRPr="009B109C">
        <w:rPr>
          <w:rFonts w:ascii="Bookman Old Style" w:hAnsi="Bookman Old Style" w:cstheme="majorBidi"/>
        </w:rPr>
        <w:t xml:space="preserve"> </w:t>
      </w:r>
    </w:p>
    <w:p w14:paraId="698B1E6B" w14:textId="00348CCE" w:rsidR="0044142D" w:rsidRDefault="001A7E47" w:rsidP="0044142D">
      <w:pPr>
        <w:spacing w:after="0" w:line="240" w:lineRule="auto"/>
        <w:ind w:firstLine="720"/>
        <w:jc w:val="both"/>
        <w:rPr>
          <w:rFonts w:ascii="Bookman Old Style" w:hAnsi="Bookman Old Style" w:cstheme="majorBidi"/>
        </w:rPr>
      </w:pPr>
      <w:r>
        <w:rPr>
          <w:rFonts w:ascii="Bookman Old Style" w:hAnsi="Bookman Old Style" w:cstheme="majorBidi"/>
        </w:rPr>
        <w:t xml:space="preserve">Dalam kajian hukum ekonomi syariah, tanggung jawab hukum terbagi menjadi 2 (dua), yaitu (1) </w:t>
      </w:r>
      <w:r>
        <w:rPr>
          <w:rFonts w:ascii="Bookman Old Style" w:hAnsi="Bookman Old Style" w:cstheme="majorBidi"/>
          <w:i/>
          <w:iCs/>
        </w:rPr>
        <w:t>dhamân al-‘udwan</w:t>
      </w:r>
      <w:r>
        <w:rPr>
          <w:rFonts w:ascii="Bookman Old Style" w:hAnsi="Bookman Old Style" w:cstheme="majorBidi"/>
        </w:rPr>
        <w:t xml:space="preserve">, yaitu tanggung jawab atas perbuatan merugikan orang lain (perbuatan mewalan hukum; dan (2) </w:t>
      </w:r>
      <w:r>
        <w:rPr>
          <w:rFonts w:ascii="Bookman Old Style" w:hAnsi="Bookman Old Style" w:cstheme="majorBidi"/>
          <w:i/>
          <w:iCs/>
        </w:rPr>
        <w:t xml:space="preserve">dhamân al-‘aqd, </w:t>
      </w:r>
      <w:r>
        <w:rPr>
          <w:rFonts w:ascii="Bookman Old Style" w:hAnsi="Bookman Old Style" w:cstheme="majorBidi"/>
        </w:rPr>
        <w:t>yaitu tanggung jawab perdata untuk memberikan ganti rugi yang bersumber pada perbuatan wamprestasi.</w:t>
      </w:r>
    </w:p>
    <w:p w14:paraId="7B0A6A43" w14:textId="35288BEB" w:rsidR="00A62EB5" w:rsidRPr="00E775E4" w:rsidRDefault="00E775E4" w:rsidP="00B670C5">
      <w:pPr>
        <w:spacing w:after="0" w:line="240" w:lineRule="auto"/>
        <w:ind w:firstLine="720"/>
        <w:jc w:val="both"/>
        <w:rPr>
          <w:rFonts w:ascii="Bookman Old Style" w:hAnsi="Bookman Old Style" w:cstheme="majorBidi"/>
        </w:rPr>
      </w:pPr>
      <w:r>
        <w:rPr>
          <w:rFonts w:ascii="Bookman Old Style" w:hAnsi="Bookman Old Style" w:cstheme="majorBidi"/>
        </w:rPr>
        <w:t xml:space="preserve">Para ahli hukum Islam merumuskan mengenai jenis ganti rugi dibedakan menjadi 2 (dua) macam, yaitu: </w:t>
      </w:r>
      <w:r>
        <w:rPr>
          <w:rFonts w:ascii="Bookman Old Style" w:hAnsi="Bookman Old Style" w:cstheme="majorBidi"/>
          <w:i/>
          <w:iCs/>
        </w:rPr>
        <w:t xml:space="preserve">pertama, al-dharar al-mâddi </w:t>
      </w:r>
      <w:r>
        <w:rPr>
          <w:rFonts w:ascii="Bookman Old Style" w:hAnsi="Bookman Old Style" w:cstheme="majorBidi"/>
        </w:rPr>
        <w:t xml:space="preserve">(kerugian material), yaitu kerugian yang menimpa harta benda seseorang; dan </w:t>
      </w:r>
      <w:r>
        <w:rPr>
          <w:rFonts w:ascii="Bookman Old Style" w:hAnsi="Bookman Old Style" w:cstheme="majorBidi"/>
          <w:i/>
          <w:iCs/>
        </w:rPr>
        <w:t>kedua</w:t>
      </w:r>
      <w:r>
        <w:rPr>
          <w:rFonts w:ascii="Bookman Old Style" w:hAnsi="Bookman Old Style" w:cstheme="majorBidi"/>
        </w:rPr>
        <w:t xml:space="preserve">, </w:t>
      </w:r>
      <w:r>
        <w:rPr>
          <w:rFonts w:ascii="Bookman Old Style" w:hAnsi="Bookman Old Style" w:cstheme="majorBidi"/>
          <w:i/>
          <w:iCs/>
        </w:rPr>
        <w:t xml:space="preserve">al-dharar al-ma’nawi </w:t>
      </w:r>
      <w:r>
        <w:rPr>
          <w:rFonts w:ascii="Bookman Old Style" w:hAnsi="Bookman Old Style" w:cstheme="majorBidi"/>
        </w:rPr>
        <w:t xml:space="preserve">(kerugian immaterial). Par sarjana hukum </w:t>
      </w:r>
      <w:r>
        <w:rPr>
          <w:rFonts w:ascii="Bookman Old Style" w:hAnsi="Bookman Old Style" w:cstheme="majorBidi"/>
        </w:rPr>
        <w:lastRenderedPageBreak/>
        <w:t>Islam berbeda pendapat mengenai apakah kerugian immaterial itu dapat dinilai atau tidak. Permasalahan ini merupakan hasil analogi dari peredebatan ulama dalam hal, apakah manfaat suatu benda itu mempunyai nilai atau tidak.</w:t>
      </w:r>
      <w:r w:rsidR="00B670C5">
        <w:rPr>
          <w:rFonts w:ascii="Bookman Old Style" w:hAnsi="Bookman Old Style" w:cstheme="majorBidi"/>
        </w:rPr>
        <w:fldChar w:fldCharType="begin" w:fldLock="1"/>
      </w:r>
      <w:r w:rsidR="00E34F41">
        <w:rPr>
          <w:rFonts w:ascii="Bookman Old Style" w:hAnsi="Bookman Old Style" w:cstheme="majorBidi"/>
        </w:rPr>
        <w:instrText>ADDIN CSL_CITATION {"citationItems":[{"id":"ITEM-1","itemData":{"author":[{"dropping-particle":"","family":"Syubair","given":"Muhammad Utsman","non-dropping-particle":"","parse-names":false,"suffix":""}],"id":"ITEM-1","issued":{"date-parts":[["2010"]]},"number-of-pages":"71","publisher":"Dar al-Nafais","publisher-place":"Yordania","title":"Al-Madkhal Ila Fiqh al-Mu'amalat al-Maliyyah: al-Mal, al-Milkiyyah, al-'Aqd","type":"book"},"uris":["http://www.mendeley.com/documents/?uuid=6f5100f0-0aa2-493d-b782-5edf347670a6"]}],"mendeley":{"formattedCitation":"(Syubair, 2010)","plainTextFormattedCitation":"(Syubair, 2010)","previouslyFormattedCitation":"(Syubair, 2010)"},"properties":{"noteIndex":0},"schema":"https://github.com/citation-style-language/schema/raw/master/csl-citation.json"}</w:instrText>
      </w:r>
      <w:r w:rsidR="00B670C5">
        <w:rPr>
          <w:rFonts w:ascii="Bookman Old Style" w:hAnsi="Bookman Old Style" w:cstheme="majorBidi"/>
        </w:rPr>
        <w:fldChar w:fldCharType="separate"/>
      </w:r>
      <w:r w:rsidR="00B670C5" w:rsidRPr="00B670C5">
        <w:rPr>
          <w:rFonts w:ascii="Bookman Old Style" w:hAnsi="Bookman Old Style" w:cstheme="majorBidi"/>
          <w:noProof/>
        </w:rPr>
        <w:t>(Syubair, 2010)</w:t>
      </w:r>
      <w:r w:rsidR="00B670C5">
        <w:rPr>
          <w:rFonts w:ascii="Bookman Old Style" w:hAnsi="Bookman Old Style" w:cstheme="majorBidi"/>
        </w:rPr>
        <w:fldChar w:fldCharType="end"/>
      </w:r>
      <w:r>
        <w:rPr>
          <w:rFonts w:ascii="Bookman Old Style" w:hAnsi="Bookman Old Style" w:cstheme="majorBidi"/>
        </w:rPr>
        <w:t xml:space="preserve"> </w:t>
      </w:r>
    </w:p>
    <w:p w14:paraId="70BE3D95" w14:textId="25C8465D" w:rsidR="001A7E47" w:rsidRDefault="001A7E47" w:rsidP="001A7E47">
      <w:pPr>
        <w:spacing w:after="0" w:line="240" w:lineRule="auto"/>
        <w:ind w:firstLine="720"/>
        <w:jc w:val="both"/>
        <w:rPr>
          <w:rFonts w:ascii="Bookman Old Style" w:hAnsi="Bookman Old Style" w:cstheme="majorBidi"/>
        </w:rPr>
      </w:pPr>
      <w:r>
        <w:rPr>
          <w:rFonts w:ascii="Bookman Old Style" w:hAnsi="Bookman Old Style" w:cstheme="majorBidi"/>
        </w:rPr>
        <w:t xml:space="preserve">Berdasarkan adanya unsur merugikan orang lain, maka akan timbul akibat hukum berupa ganti rugi, yang dalam hukum ekonomi syariah disebut dengan istilah </w:t>
      </w:r>
      <w:r>
        <w:rPr>
          <w:rFonts w:ascii="Bookman Old Style" w:hAnsi="Bookman Old Style" w:cstheme="majorBidi"/>
          <w:i/>
          <w:iCs/>
        </w:rPr>
        <w:t>ta’w</w:t>
      </w:r>
      <w:r>
        <w:rPr>
          <w:rFonts w:ascii="Times New Roman" w:hAnsi="Times New Roman" w:cs="Times New Roman"/>
          <w:i/>
          <w:iCs/>
        </w:rPr>
        <w:t>ȋ</w:t>
      </w:r>
      <w:r>
        <w:rPr>
          <w:rFonts w:ascii="Bookman Old Style" w:hAnsi="Bookman Old Style" w:cstheme="majorBidi"/>
          <w:i/>
          <w:iCs/>
        </w:rPr>
        <w:t>dh</w:t>
      </w:r>
      <w:r>
        <w:rPr>
          <w:rFonts w:ascii="Bookman Old Style" w:hAnsi="Bookman Old Style" w:cstheme="majorBidi"/>
        </w:rPr>
        <w:t xml:space="preserve">. Kata </w:t>
      </w:r>
      <w:r>
        <w:rPr>
          <w:rFonts w:ascii="Bookman Old Style" w:hAnsi="Bookman Old Style" w:cstheme="majorBidi"/>
          <w:i/>
          <w:iCs/>
        </w:rPr>
        <w:t>taw</w:t>
      </w:r>
      <w:r>
        <w:rPr>
          <w:rFonts w:ascii="Times New Roman" w:hAnsi="Times New Roman" w:cs="Times New Roman"/>
          <w:i/>
          <w:iCs/>
        </w:rPr>
        <w:t>ȋ</w:t>
      </w:r>
      <w:r>
        <w:rPr>
          <w:rFonts w:ascii="Bookman Old Style" w:hAnsi="Bookman Old Style" w:cstheme="majorBidi"/>
          <w:i/>
          <w:iCs/>
        </w:rPr>
        <w:t xml:space="preserve">d </w:t>
      </w:r>
      <w:r>
        <w:rPr>
          <w:rFonts w:ascii="Bookman Old Style" w:hAnsi="Bookman Old Style" w:cstheme="majorBidi"/>
        </w:rPr>
        <w:t>dalam bahasa Arab</w:t>
      </w:r>
      <w:r>
        <w:rPr>
          <w:rFonts w:ascii="Bookman Old Style" w:hAnsi="Bookman Old Style" w:cstheme="majorBidi"/>
          <w:i/>
          <w:iCs/>
        </w:rPr>
        <w:t xml:space="preserve"> </w:t>
      </w:r>
      <w:r>
        <w:rPr>
          <w:rFonts w:ascii="Bookman Old Style" w:hAnsi="Bookman Old Style" w:cstheme="majorBidi"/>
        </w:rPr>
        <w:t xml:space="preserve">terambil dari kata </w:t>
      </w:r>
      <w:r>
        <w:rPr>
          <w:rFonts w:ascii="Bookman Old Style" w:hAnsi="Bookman Old Style" w:cstheme="majorBidi"/>
          <w:i/>
          <w:iCs/>
        </w:rPr>
        <w:t>‘iwadh</w:t>
      </w:r>
      <w:r>
        <w:rPr>
          <w:rFonts w:ascii="Bookman Old Style" w:hAnsi="Bookman Old Style" w:cstheme="majorBidi"/>
        </w:rPr>
        <w:t xml:space="preserve"> yang secara bahasa artinya </w:t>
      </w:r>
      <w:r>
        <w:rPr>
          <w:rFonts w:ascii="Bookman Old Style" w:hAnsi="Bookman Old Style" w:cstheme="majorBidi"/>
          <w:i/>
          <w:iCs/>
        </w:rPr>
        <w:t xml:space="preserve">al-badal </w:t>
      </w:r>
      <w:r>
        <w:rPr>
          <w:rFonts w:ascii="Bookman Old Style" w:hAnsi="Bookman Old Style" w:cstheme="majorBidi"/>
        </w:rPr>
        <w:t xml:space="preserve">(pengganti); </w:t>
      </w:r>
      <w:r>
        <w:rPr>
          <w:rFonts w:ascii="Bookman Old Style" w:hAnsi="Bookman Old Style" w:cstheme="majorBidi"/>
          <w:i/>
          <w:iCs/>
        </w:rPr>
        <w:t xml:space="preserve">al-khalaf </w:t>
      </w:r>
      <w:r>
        <w:rPr>
          <w:rFonts w:ascii="Bookman Old Style" w:hAnsi="Bookman Old Style" w:cstheme="majorBidi"/>
        </w:rPr>
        <w:t>(memberi ganti)</w:t>
      </w:r>
      <w:r w:rsidR="00A63AE4">
        <w:rPr>
          <w:rFonts w:ascii="Bookman Old Style" w:hAnsi="Bookman Old Style" w:cstheme="majorBidi"/>
        </w:rPr>
        <w:t>.</w:t>
      </w:r>
      <w:r w:rsidR="00CB6352">
        <w:rPr>
          <w:rFonts w:ascii="Bookman Old Style" w:hAnsi="Bookman Old Style" w:cstheme="majorBidi"/>
        </w:rPr>
        <w:fldChar w:fldCharType="begin" w:fldLock="1"/>
      </w:r>
      <w:r w:rsidR="00CB6352">
        <w:rPr>
          <w:rFonts w:ascii="Bookman Old Style" w:hAnsi="Bookman Old Style" w:cstheme="majorBidi"/>
        </w:rPr>
        <w:instrText>ADDIN CSL_CITATION {"citationItems":[{"id":"ITEM-1","itemData":{"DOI":"10.18592/al-banjari.v16i2.1357","ISSN":"1412-9507","abstract":"Ta'zir and Ta'widh are the two preventive instruments that are born to anticipate moral hazard by the customer against the contract agreement made with the banking. Ta'zir represents a number of penalties stipulated at the start of the contract, definite and designated as a social fund. While Ta'widh in the form of compensation set by the bank, not specified at the beginning of the contract but calculated based on the instantaneous losses experienced by banks and these funds entered as a fee and income bank. Ta'zir provisions get legal legality based on fatwa number 17/DSN-MUI/IX/2000 while Ta'widh based on fatwa number 43/ DSN-MUI/VIII/2004. Both of these instruments aim to discipline customers in order to meet the promised achievements. However, when customers experience a state of overmatch (Force Majoer) these two instruments can not be applied because it is contrary to the principle of Masyaqqat contained in Islamic law.","author":[{"dropping-particle":"","family":"Wahyudi","given":"Firman","non-dropping-particle":"","parse-names":false,"suffix":""}],"container-title":"Al-Banjari : Jurnal Ilmiah Ilmu-Ilmu Keislaman","id":"ITEM-1","issue":"2","issued":{"date-parts":[["2017"]]},"page":"25","title":"Mengontrol Moral Hazard Nasabah Melalui Instrumen Ta’Zir Dan Ta’Widh","type":"article-journal","volume":"16"},"uris":["http://www.mendeley.com/documents/?uuid=204d5569-cd56-4308-9f6a-ac49d311cb0f"]}],"mendeley":{"formattedCitation":"(Wahyudi, 2017)","plainTextFormattedCitation":"(Wahyudi, 2017)","previouslyFormattedCitation":"(Wahyudi, 2017)"},"properties":{"noteIndex":0},"schema":"https://github.com/citation-style-language/schema/raw/master/csl-citation.json"}</w:instrText>
      </w:r>
      <w:r w:rsidR="00CB6352">
        <w:rPr>
          <w:rFonts w:ascii="Bookman Old Style" w:hAnsi="Bookman Old Style" w:cstheme="majorBidi"/>
        </w:rPr>
        <w:fldChar w:fldCharType="separate"/>
      </w:r>
      <w:r w:rsidR="00CB6352" w:rsidRPr="00CB6352">
        <w:rPr>
          <w:rFonts w:ascii="Bookman Old Style" w:hAnsi="Bookman Old Style" w:cstheme="majorBidi"/>
          <w:noProof/>
        </w:rPr>
        <w:t>(Wahyudi, 2017)</w:t>
      </w:r>
      <w:r w:rsidR="00CB6352">
        <w:rPr>
          <w:rFonts w:ascii="Bookman Old Style" w:hAnsi="Bookman Old Style" w:cstheme="majorBidi"/>
        </w:rPr>
        <w:fldChar w:fldCharType="end"/>
      </w:r>
      <w:r w:rsidR="00A63AE4">
        <w:rPr>
          <w:rFonts w:ascii="Bookman Old Style" w:hAnsi="Bookman Old Style" w:cstheme="majorBidi"/>
        </w:rPr>
        <w:t xml:space="preserve"> Adapun definisi </w:t>
      </w:r>
      <w:r w:rsidR="00A63AE4">
        <w:rPr>
          <w:rFonts w:ascii="Bookman Old Style" w:hAnsi="Bookman Old Style" w:cstheme="majorBidi"/>
          <w:i/>
          <w:iCs/>
        </w:rPr>
        <w:t>ta’w</w:t>
      </w:r>
      <w:r w:rsidR="00A63AE4">
        <w:rPr>
          <w:rFonts w:ascii="Times New Roman" w:hAnsi="Times New Roman" w:cs="Times New Roman"/>
          <w:i/>
          <w:iCs/>
        </w:rPr>
        <w:t>ȋ</w:t>
      </w:r>
      <w:r w:rsidR="00A63AE4">
        <w:rPr>
          <w:rFonts w:ascii="Bookman Old Style" w:hAnsi="Bookman Old Style" w:cstheme="majorBidi"/>
          <w:i/>
          <w:iCs/>
        </w:rPr>
        <w:t xml:space="preserve">dh </w:t>
      </w:r>
      <w:r w:rsidR="00A63AE4">
        <w:rPr>
          <w:rFonts w:ascii="Bookman Old Style" w:hAnsi="Bookman Old Style" w:cstheme="majorBidi"/>
        </w:rPr>
        <w:t>disampaikan para ahli hukum Islam kontemporer sebagai berikut:</w:t>
      </w:r>
    </w:p>
    <w:p w14:paraId="6AEDA064" w14:textId="3B05C204" w:rsidR="00A63AE4" w:rsidRDefault="00A63AE4" w:rsidP="001A7E47">
      <w:pPr>
        <w:spacing w:after="0" w:line="240" w:lineRule="auto"/>
        <w:ind w:firstLine="720"/>
        <w:jc w:val="both"/>
        <w:rPr>
          <w:rFonts w:ascii="Bookman Old Style" w:hAnsi="Bookman Old Style" w:cstheme="majorBidi"/>
        </w:rPr>
      </w:pPr>
      <w:r>
        <w:rPr>
          <w:rFonts w:ascii="Bookman Old Style" w:hAnsi="Bookman Old Style" w:cstheme="majorBidi"/>
        </w:rPr>
        <w:t xml:space="preserve">Wahbah al-Zuhaili dalam kitab </w:t>
      </w:r>
      <w:r>
        <w:rPr>
          <w:rFonts w:ascii="Bookman Old Style" w:hAnsi="Bookman Old Style" w:cstheme="majorBidi"/>
          <w:i/>
          <w:iCs/>
        </w:rPr>
        <w:t>Nadzariyya</w:t>
      </w:r>
      <w:r>
        <w:rPr>
          <w:rFonts w:ascii="Bookman Old Style" w:hAnsi="Bookman Old Style" w:cstheme="majorBidi"/>
          <w:i/>
          <w:iCs/>
          <w:u w:val="single"/>
        </w:rPr>
        <w:t>t</w:t>
      </w:r>
      <w:r>
        <w:rPr>
          <w:rFonts w:ascii="Bookman Old Style" w:hAnsi="Bookman Old Style" w:cstheme="majorBidi"/>
          <w:i/>
          <w:iCs/>
        </w:rPr>
        <w:t xml:space="preserve"> al-Dhâman</w:t>
      </w:r>
      <w:r>
        <w:rPr>
          <w:rFonts w:ascii="Bookman Old Style" w:hAnsi="Bookman Old Style" w:cstheme="majorBidi"/>
        </w:rPr>
        <w:t xml:space="preserve"> menjelaskan bahwa yang dimaksud dengan </w:t>
      </w:r>
      <w:r>
        <w:rPr>
          <w:rFonts w:ascii="Bookman Old Style" w:hAnsi="Bookman Old Style" w:cstheme="majorBidi"/>
          <w:i/>
          <w:iCs/>
        </w:rPr>
        <w:t>ta’w</w:t>
      </w:r>
      <w:r>
        <w:rPr>
          <w:rFonts w:ascii="Times New Roman" w:hAnsi="Times New Roman" w:cs="Times New Roman"/>
          <w:i/>
          <w:iCs/>
        </w:rPr>
        <w:t>ȋ</w:t>
      </w:r>
      <w:r>
        <w:rPr>
          <w:rFonts w:ascii="Bookman Old Style" w:hAnsi="Bookman Old Style" w:cstheme="majorBidi"/>
          <w:i/>
          <w:iCs/>
        </w:rPr>
        <w:t xml:space="preserve">dh </w:t>
      </w:r>
      <w:r>
        <w:rPr>
          <w:rFonts w:ascii="Bookman Old Style" w:hAnsi="Bookman Old Style" w:cstheme="majorBidi"/>
        </w:rPr>
        <w:t>adalah sebagai berikut:</w:t>
      </w:r>
    </w:p>
    <w:p w14:paraId="46253A2E" w14:textId="1C990C83" w:rsidR="00A63AE4" w:rsidRPr="00A63AE4" w:rsidRDefault="00A63AE4" w:rsidP="00A63AE4">
      <w:pPr>
        <w:spacing w:after="0" w:line="240" w:lineRule="auto"/>
        <w:ind w:firstLine="720"/>
        <w:jc w:val="right"/>
        <w:rPr>
          <w:rFonts w:ascii="Bookman Old Style" w:hAnsi="Bookman Old Style" w:cstheme="majorBidi"/>
          <w:sz w:val="20"/>
          <w:szCs w:val="20"/>
          <w:rtl/>
        </w:rPr>
      </w:pPr>
      <w:r w:rsidRPr="00A63AE4">
        <w:rPr>
          <w:rFonts w:ascii="Times New Roman" w:hAnsi="Times New Roman" w:cs="Traditional Arabic" w:hint="cs"/>
          <w:sz w:val="32"/>
          <w:szCs w:val="32"/>
          <w:rtl/>
        </w:rPr>
        <w:t>التعويض هو: تغطية الضرر الواقع بالتعدى او الخطا</w:t>
      </w:r>
    </w:p>
    <w:p w14:paraId="20DEA8DE" w14:textId="0AE41E08" w:rsidR="00A63AE4" w:rsidRDefault="00A63AE4" w:rsidP="00A63AE4">
      <w:pPr>
        <w:spacing w:after="0" w:line="240" w:lineRule="auto"/>
        <w:ind w:left="720"/>
        <w:jc w:val="both"/>
        <w:rPr>
          <w:rFonts w:ascii="Bookman Old Style" w:hAnsi="Bookman Old Style" w:cstheme="majorBidi"/>
        </w:rPr>
      </w:pPr>
      <w:r>
        <w:rPr>
          <w:rFonts w:ascii="Bookman Old Style" w:hAnsi="Bookman Old Style" w:cstheme="majorBidi"/>
        </w:rPr>
        <w:t>“</w:t>
      </w:r>
      <w:r w:rsidRPr="00A63AE4">
        <w:rPr>
          <w:rFonts w:ascii="Bookman Old Style" w:hAnsi="Bookman Old Style" w:cstheme="majorBidi"/>
          <w:i/>
          <w:iCs/>
        </w:rPr>
        <w:t>Menutup kerugian yang terjadi yang diakibatkan oleh perbuatan ta’ad</w:t>
      </w:r>
      <w:r w:rsidRPr="00A63AE4">
        <w:rPr>
          <w:rFonts w:ascii="Times New Roman" w:hAnsi="Times New Roman" w:cs="Times New Roman"/>
          <w:i/>
          <w:iCs/>
        </w:rPr>
        <w:t>ȋ</w:t>
      </w:r>
      <w:r w:rsidRPr="00A63AE4">
        <w:rPr>
          <w:rFonts w:ascii="Bookman Old Style" w:hAnsi="Bookman Old Style" w:cstheme="majorBidi"/>
          <w:i/>
          <w:iCs/>
        </w:rPr>
        <w:t xml:space="preserve"> (perbuatan melampau batas) dan </w:t>
      </w:r>
      <w:r>
        <w:rPr>
          <w:rFonts w:ascii="Bookman Old Style" w:hAnsi="Bookman Old Style" w:cstheme="majorBidi"/>
          <w:i/>
          <w:iCs/>
        </w:rPr>
        <w:t>khatâ (</w:t>
      </w:r>
      <w:r w:rsidRPr="00A63AE4">
        <w:rPr>
          <w:rFonts w:ascii="Bookman Old Style" w:hAnsi="Bookman Old Style" w:cstheme="majorBidi"/>
          <w:i/>
          <w:iCs/>
        </w:rPr>
        <w:t>kekeliruan</w:t>
      </w:r>
      <w:r>
        <w:rPr>
          <w:rFonts w:ascii="Bookman Old Style" w:hAnsi="Bookman Old Style" w:cstheme="majorBidi"/>
          <w:i/>
          <w:iCs/>
        </w:rPr>
        <w:t>)</w:t>
      </w:r>
      <w:r>
        <w:rPr>
          <w:rFonts w:ascii="Bookman Old Style" w:hAnsi="Bookman Old Style" w:cstheme="majorBidi"/>
        </w:rPr>
        <w:t>”.</w:t>
      </w:r>
      <w:r w:rsidR="00B95F8E">
        <w:rPr>
          <w:rFonts w:ascii="Bookman Old Style" w:hAnsi="Bookman Old Style" w:cstheme="majorBidi"/>
        </w:rPr>
        <w:fldChar w:fldCharType="begin" w:fldLock="1"/>
      </w:r>
      <w:r w:rsidR="008060EB">
        <w:rPr>
          <w:rFonts w:ascii="Bookman Old Style" w:hAnsi="Bookman Old Style" w:cstheme="majorBidi"/>
        </w:rPr>
        <w:instrText>ADDIN CSL_CITATION {"citationItems":[{"id":"ITEM-1","itemData":{"author":[{"dropping-particle":"","family":"Wahbah al-Zuhaili","given":"","non-dropping-particle":"","parse-names":false,"suffix":""}],"id":"ITEM-1","issued":{"date-parts":[["2012"]]},"number-of-pages":"82","publisher":"Dâr al-Fikr al-Mu’âshir","publisher-place":"Beirut","title":"Nadzariyyat al-Dhâman aw ahkâm al-Mas’uliyyah al-Madaniyyah wa al-jinâiyyah f</w:instrText>
      </w:r>
      <w:r w:rsidR="008060EB">
        <w:rPr>
          <w:rFonts w:ascii="Cambria" w:hAnsi="Cambria" w:cs="Cambria"/>
        </w:rPr>
        <w:instrText>ȋ</w:instrText>
      </w:r>
      <w:r w:rsidR="008060EB">
        <w:rPr>
          <w:rFonts w:ascii="Bookman Old Style" w:hAnsi="Bookman Old Style" w:cstheme="majorBidi"/>
        </w:rPr>
        <w:instrText xml:space="preserve"> al-Fiqh al-Isl</w:instrText>
      </w:r>
      <w:r w:rsidR="008060EB">
        <w:rPr>
          <w:rFonts w:ascii="Bookman Old Style" w:hAnsi="Bookman Old Style" w:cs="Bookman Old Style"/>
        </w:rPr>
        <w:instrText>â</w:instrText>
      </w:r>
      <w:r w:rsidR="008060EB">
        <w:rPr>
          <w:rFonts w:ascii="Bookman Old Style" w:hAnsi="Bookman Old Style" w:cstheme="majorBidi"/>
        </w:rPr>
        <w:instrText>m</w:instrText>
      </w:r>
      <w:r w:rsidR="008060EB">
        <w:rPr>
          <w:rFonts w:ascii="Cambria" w:hAnsi="Cambria" w:cs="Cambria"/>
        </w:rPr>
        <w:instrText>ȋ</w:instrText>
      </w:r>
      <w:r w:rsidR="008060EB">
        <w:rPr>
          <w:rFonts w:ascii="Bookman Old Style" w:hAnsi="Bookman Old Style" w:cstheme="majorBidi"/>
        </w:rPr>
        <w:instrText>: Dir</w:instrText>
      </w:r>
      <w:r w:rsidR="008060EB">
        <w:rPr>
          <w:rFonts w:ascii="Bookman Old Style" w:hAnsi="Bookman Old Style" w:cs="Bookman Old Style"/>
        </w:rPr>
        <w:instrText>â</w:instrText>
      </w:r>
      <w:r w:rsidR="008060EB">
        <w:rPr>
          <w:rFonts w:ascii="Bookman Old Style" w:hAnsi="Bookman Old Style" w:cstheme="majorBidi"/>
        </w:rPr>
        <w:instrText>sah Muq</w:instrText>
      </w:r>
      <w:r w:rsidR="008060EB">
        <w:rPr>
          <w:rFonts w:ascii="Bookman Old Style" w:hAnsi="Bookman Old Style" w:cs="Bookman Old Style"/>
        </w:rPr>
        <w:instrText>â</w:instrText>
      </w:r>
      <w:r w:rsidR="008060EB">
        <w:rPr>
          <w:rFonts w:ascii="Bookman Old Style" w:hAnsi="Bookman Old Style" w:cstheme="majorBidi"/>
        </w:rPr>
        <w:instrText>ranah","type":"book"},"uris":["http://www.mendeley.com/documents/?uuid=7f1f8bea-0c6c-439a-af03-9502f228935e"]}],"mendeley":{"formattedCitation":"(Wahbah al-Zuhaili, 2012b)","plainTextFormattedCitation":"(Wahbah al-Zuhaili, 2012b)","previouslyFormattedCitation":"(Wahbah al-Zuhaili, 2012b)"},"properties":{"noteIndex":0},"schema":"https://github.com/citation-style-language/schema/raw/master/csl-citation.json"}</w:instrText>
      </w:r>
      <w:r w:rsidR="00B95F8E">
        <w:rPr>
          <w:rFonts w:ascii="Bookman Old Style" w:hAnsi="Bookman Old Style" w:cstheme="majorBidi"/>
        </w:rPr>
        <w:fldChar w:fldCharType="separate"/>
      </w:r>
      <w:r w:rsidR="00B95F8E" w:rsidRPr="00B95F8E">
        <w:rPr>
          <w:rFonts w:ascii="Bookman Old Style" w:hAnsi="Bookman Old Style" w:cstheme="majorBidi"/>
          <w:noProof/>
        </w:rPr>
        <w:t>(Wahbah al-Zuhaili, 2012b)</w:t>
      </w:r>
      <w:r w:rsidR="00B95F8E">
        <w:rPr>
          <w:rFonts w:ascii="Bookman Old Style" w:hAnsi="Bookman Old Style" w:cstheme="majorBidi"/>
        </w:rPr>
        <w:fldChar w:fldCharType="end"/>
      </w:r>
      <w:r>
        <w:rPr>
          <w:rFonts w:ascii="Bookman Old Style" w:hAnsi="Bookman Old Style" w:cstheme="majorBidi"/>
        </w:rPr>
        <w:t xml:space="preserve"> </w:t>
      </w:r>
    </w:p>
    <w:p w14:paraId="0B434F48" w14:textId="77777777" w:rsidR="008060EB" w:rsidRDefault="008060EB" w:rsidP="00D63D70">
      <w:pPr>
        <w:spacing w:after="0" w:line="240" w:lineRule="auto"/>
        <w:ind w:firstLine="720"/>
        <w:jc w:val="both"/>
        <w:rPr>
          <w:rFonts w:ascii="Bookman Old Style" w:hAnsi="Bookman Old Style" w:cstheme="majorBidi"/>
        </w:rPr>
      </w:pPr>
    </w:p>
    <w:p w14:paraId="68BDF027" w14:textId="77777777" w:rsidR="008060EB" w:rsidRDefault="008060EB" w:rsidP="00D63D70">
      <w:pPr>
        <w:spacing w:after="0" w:line="240" w:lineRule="auto"/>
        <w:ind w:firstLine="720"/>
        <w:jc w:val="both"/>
        <w:rPr>
          <w:rFonts w:ascii="Bookman Old Style" w:hAnsi="Bookman Old Style" w:cstheme="majorBidi"/>
        </w:rPr>
      </w:pPr>
    </w:p>
    <w:p w14:paraId="47452C18" w14:textId="30452C36" w:rsidR="00050701" w:rsidRDefault="00050701" w:rsidP="00D63D70">
      <w:pPr>
        <w:spacing w:after="0" w:line="240" w:lineRule="auto"/>
        <w:ind w:firstLine="720"/>
        <w:jc w:val="both"/>
        <w:rPr>
          <w:rFonts w:ascii="Bookman Old Style" w:hAnsi="Bookman Old Style" w:cstheme="majorBidi"/>
        </w:rPr>
      </w:pPr>
      <w:r>
        <w:rPr>
          <w:rFonts w:ascii="Bookman Old Style" w:hAnsi="Bookman Old Style" w:cstheme="majorBidi"/>
        </w:rPr>
        <w:t xml:space="preserve">Menurut </w:t>
      </w:r>
      <w:r w:rsidR="00D63D70">
        <w:rPr>
          <w:rFonts w:ascii="Bookman Old Style" w:hAnsi="Bookman Old Style" w:cstheme="majorBidi"/>
        </w:rPr>
        <w:t xml:space="preserve">Muhammad ‘Abd al-Mun’in Abd Zaid, yang dimaksud dengan </w:t>
      </w:r>
      <w:r w:rsidR="00D63D70">
        <w:rPr>
          <w:rFonts w:ascii="Bookman Old Style" w:hAnsi="Bookman Old Style" w:cstheme="majorBidi"/>
          <w:i/>
          <w:iCs/>
        </w:rPr>
        <w:t>ta’w</w:t>
      </w:r>
      <w:r w:rsidR="00D63D70">
        <w:rPr>
          <w:rFonts w:ascii="Times New Roman" w:hAnsi="Times New Roman" w:cs="Times New Roman"/>
          <w:i/>
          <w:iCs/>
        </w:rPr>
        <w:t>ȋ</w:t>
      </w:r>
      <w:r w:rsidR="00D63D70">
        <w:rPr>
          <w:rFonts w:ascii="Bookman Old Style" w:hAnsi="Bookman Old Style" w:cstheme="majorBidi"/>
          <w:i/>
          <w:iCs/>
        </w:rPr>
        <w:t xml:space="preserve">dh </w:t>
      </w:r>
      <w:r w:rsidR="00D63D70">
        <w:rPr>
          <w:rFonts w:ascii="Bookman Old Style" w:hAnsi="Bookman Old Style" w:cstheme="majorBidi"/>
        </w:rPr>
        <w:t>adalah sebagai berikut:</w:t>
      </w:r>
    </w:p>
    <w:p w14:paraId="7A2F6CF8" w14:textId="6D042327" w:rsidR="00D63D70" w:rsidRPr="00D63D70" w:rsidRDefault="00D63D70" w:rsidP="00D63D70">
      <w:pPr>
        <w:spacing w:after="0" w:line="240" w:lineRule="auto"/>
        <w:ind w:firstLine="720"/>
        <w:jc w:val="right"/>
        <w:rPr>
          <w:rFonts w:ascii="Traditional Arabic" w:hAnsi="Traditional Arabic" w:cs="Traditional Arabic"/>
          <w:sz w:val="32"/>
          <w:szCs w:val="32"/>
        </w:rPr>
      </w:pPr>
      <w:r>
        <w:rPr>
          <w:rFonts w:ascii="Traditional Arabic" w:hAnsi="Traditional Arabic" w:cs="Traditional Arabic" w:hint="cs"/>
          <w:sz w:val="32"/>
          <w:szCs w:val="32"/>
          <w:rtl/>
        </w:rPr>
        <w:t>التعويض: حيث تلزم الشريعة كل من قام بفعل, ترتب عليه وقوع ضرر بالاخر</w:t>
      </w:r>
    </w:p>
    <w:p w14:paraId="0677C414" w14:textId="7C3136EA" w:rsidR="00D63D70" w:rsidRDefault="00D63D70" w:rsidP="00D63D70">
      <w:pPr>
        <w:spacing w:after="0" w:line="240" w:lineRule="auto"/>
        <w:ind w:left="720"/>
        <w:jc w:val="both"/>
        <w:rPr>
          <w:rFonts w:ascii="Bookman Old Style" w:hAnsi="Bookman Old Style" w:cstheme="majorBidi"/>
        </w:rPr>
      </w:pPr>
      <w:r>
        <w:rPr>
          <w:rFonts w:ascii="Bookman Old Style" w:hAnsi="Bookman Old Style" w:cstheme="majorBidi"/>
        </w:rPr>
        <w:t>“</w:t>
      </w:r>
      <w:r w:rsidRPr="00D63D70">
        <w:rPr>
          <w:rFonts w:ascii="Bookman Old Style" w:hAnsi="Bookman Old Style" w:cstheme="majorBidi"/>
          <w:i/>
          <w:iCs/>
        </w:rPr>
        <w:t xml:space="preserve">Kewajiban (ganti rugi) berdasarkan syariah yang dibebankan kepada setiap </w:t>
      </w:r>
      <w:r w:rsidR="006C39E0">
        <w:rPr>
          <w:rFonts w:ascii="Bookman Old Style" w:hAnsi="Bookman Old Style" w:cstheme="majorBidi"/>
          <w:i/>
          <w:iCs/>
        </w:rPr>
        <w:t>o</w:t>
      </w:r>
      <w:r w:rsidRPr="00D63D70">
        <w:rPr>
          <w:rFonts w:ascii="Bookman Old Style" w:hAnsi="Bookman Old Style" w:cstheme="majorBidi"/>
          <w:i/>
          <w:iCs/>
        </w:rPr>
        <w:t>rang yang melakukan perbuatan yang dapat merugiakan pihak lain</w:t>
      </w:r>
      <w:r>
        <w:rPr>
          <w:rFonts w:ascii="Bookman Old Style" w:hAnsi="Bookman Old Style" w:cstheme="majorBidi"/>
        </w:rPr>
        <w:t xml:space="preserve">”. </w:t>
      </w:r>
      <w:r w:rsidR="008060EB">
        <w:rPr>
          <w:rFonts w:ascii="Bookman Old Style" w:hAnsi="Bookman Old Style" w:cstheme="majorBidi"/>
        </w:rPr>
        <w:fldChar w:fldCharType="begin" w:fldLock="1"/>
      </w:r>
      <w:r w:rsidR="00484AB2">
        <w:rPr>
          <w:rFonts w:ascii="Bookman Old Style" w:hAnsi="Bookman Old Style" w:cstheme="majorBidi"/>
        </w:rPr>
        <w:instrText>ADDIN CSL_CITATION {"citationItems":[{"id":"ITEM-1","itemData":{"author":[{"dropping-particle":"","family":"Muhammad ‘Abd al-Mun’in Abd Zaid","given":"","non-dropping-particle":"","parse-names":false,"suffix":""}],"id":"ITEM-1","issued":{"date-parts":[["1997"]]},"number-of-pages":"21","publisher":"al-Ma’had al-‘Ali Lil Fikri al-Islami","publisher-place":"Kairo","title":"al-Dhamân f</w:instrText>
      </w:r>
      <w:r w:rsidR="00484AB2">
        <w:rPr>
          <w:rFonts w:ascii="Cambria" w:hAnsi="Cambria" w:cs="Cambria"/>
        </w:rPr>
        <w:instrText>ȋ</w:instrText>
      </w:r>
      <w:r w:rsidR="00484AB2">
        <w:rPr>
          <w:rFonts w:ascii="Bookman Old Style" w:hAnsi="Bookman Old Style" w:cstheme="majorBidi"/>
        </w:rPr>
        <w:instrText xml:space="preserve"> al-Fiqh al-Isl</w:instrText>
      </w:r>
      <w:r w:rsidR="00484AB2">
        <w:rPr>
          <w:rFonts w:ascii="Bookman Old Style" w:hAnsi="Bookman Old Style" w:cs="Bookman Old Style"/>
        </w:rPr>
        <w:instrText>â</w:instrText>
      </w:r>
      <w:r w:rsidR="00484AB2">
        <w:rPr>
          <w:rFonts w:ascii="Bookman Old Style" w:hAnsi="Bookman Old Style" w:cstheme="majorBidi"/>
        </w:rPr>
        <w:instrText>m</w:instrText>
      </w:r>
      <w:r w:rsidR="00484AB2">
        <w:rPr>
          <w:rFonts w:ascii="Cambria" w:hAnsi="Cambria" w:cs="Cambria"/>
        </w:rPr>
        <w:instrText>ȋ</w:instrText>
      </w:r>
      <w:r w:rsidR="00484AB2">
        <w:rPr>
          <w:rFonts w:ascii="Bookman Old Style" w:hAnsi="Bookman Old Style" w:cstheme="majorBidi"/>
        </w:rPr>
        <w:instrText xml:space="preserve"> wa Tahtb</w:instrText>
      </w:r>
      <w:r w:rsidR="00484AB2">
        <w:rPr>
          <w:rFonts w:ascii="Cambria" w:hAnsi="Cambria" w:cs="Cambria"/>
        </w:rPr>
        <w:instrText>ȋ</w:instrText>
      </w:r>
      <w:r w:rsidR="00484AB2">
        <w:rPr>
          <w:rFonts w:ascii="Bookman Old Style" w:hAnsi="Bookman Old Style" w:cstheme="majorBidi"/>
        </w:rPr>
        <w:instrText>qatuhu f</w:instrText>
      </w:r>
      <w:r w:rsidR="00484AB2">
        <w:rPr>
          <w:rFonts w:ascii="Cambria" w:hAnsi="Cambria" w:cs="Cambria"/>
        </w:rPr>
        <w:instrText>ȋ</w:instrText>
      </w:r>
      <w:r w:rsidR="00484AB2">
        <w:rPr>
          <w:rFonts w:ascii="Bookman Old Style" w:hAnsi="Bookman Old Style" w:cstheme="majorBidi"/>
        </w:rPr>
        <w:instrText xml:space="preserve"> al-Mash</w:instrText>
      </w:r>
      <w:r w:rsidR="00484AB2">
        <w:rPr>
          <w:rFonts w:ascii="Bookman Old Style" w:hAnsi="Bookman Old Style" w:cs="Bookman Old Style"/>
        </w:rPr>
        <w:instrText>â</w:instrText>
      </w:r>
      <w:r w:rsidR="00484AB2">
        <w:rPr>
          <w:rFonts w:ascii="Bookman Old Style" w:hAnsi="Bookman Old Style" w:cstheme="majorBidi"/>
        </w:rPr>
        <w:instrText>rif al-Isl</w:instrText>
      </w:r>
      <w:r w:rsidR="00484AB2">
        <w:rPr>
          <w:rFonts w:ascii="Bookman Old Style" w:hAnsi="Bookman Old Style" w:cs="Bookman Old Style"/>
        </w:rPr>
        <w:instrText>â</w:instrText>
      </w:r>
      <w:r w:rsidR="00484AB2">
        <w:rPr>
          <w:rFonts w:ascii="Bookman Old Style" w:hAnsi="Bookman Old Style" w:cstheme="majorBidi"/>
        </w:rPr>
        <w:instrText>miyyah","type":"book"},"uris":["http://www.mendeley.com/documents/?uuid=77a89dbe-9f11-49d5-a0e1-1517a85eb726"]}],"mendeley":{"formattedCitation":"(Muhammad ‘Abd al-Mun’in Abd Zaid, 1997)","plainTextFormattedCitation":"(Muhammad ‘Abd al-Mun’in Abd Zaid, 1997)","previouslyFormattedCitation":"(Muhammad ‘Abd al-Mun’in Abd Zaid, 1997)"},"properties":{"noteIndex":0},"schema":"https://github.com/citation-style-language/schema/raw/master/csl-citation.json"}</w:instrText>
      </w:r>
      <w:r w:rsidR="008060EB">
        <w:rPr>
          <w:rFonts w:ascii="Bookman Old Style" w:hAnsi="Bookman Old Style" w:cstheme="majorBidi"/>
        </w:rPr>
        <w:fldChar w:fldCharType="separate"/>
      </w:r>
      <w:r w:rsidR="008060EB" w:rsidRPr="008060EB">
        <w:rPr>
          <w:rFonts w:ascii="Bookman Old Style" w:hAnsi="Bookman Old Style" w:cstheme="majorBidi"/>
          <w:noProof/>
        </w:rPr>
        <w:t>(Muhammad ‘Abd al-Mun’in Abd Zaid, 1997)</w:t>
      </w:r>
      <w:r w:rsidR="008060EB">
        <w:rPr>
          <w:rFonts w:ascii="Bookman Old Style" w:hAnsi="Bookman Old Style" w:cstheme="majorBidi"/>
        </w:rPr>
        <w:fldChar w:fldCharType="end"/>
      </w:r>
    </w:p>
    <w:p w14:paraId="32CDC5B1" w14:textId="55B6D4BA" w:rsidR="00D42CF7" w:rsidRDefault="00D42CF7" w:rsidP="007E7C33">
      <w:pPr>
        <w:spacing w:after="0" w:line="240" w:lineRule="auto"/>
        <w:ind w:firstLine="720"/>
        <w:jc w:val="both"/>
        <w:rPr>
          <w:rFonts w:ascii="Bookman Old Style" w:hAnsi="Bookman Old Style" w:cstheme="majorBidi"/>
        </w:rPr>
      </w:pPr>
      <w:r>
        <w:rPr>
          <w:rFonts w:ascii="Bookman Old Style" w:hAnsi="Bookman Old Style" w:cstheme="majorBidi"/>
        </w:rPr>
        <w:t xml:space="preserve">Menurut </w:t>
      </w:r>
      <w:r w:rsidR="007E7C33">
        <w:rPr>
          <w:rFonts w:ascii="Bookman Old Style" w:hAnsi="Bookman Old Style" w:cstheme="majorBidi"/>
        </w:rPr>
        <w:t xml:space="preserve">Muhammad Ibn Abd al-‘Aziz Abu ‘Abah, bahwa yang dimaksud dengan </w:t>
      </w:r>
      <w:r w:rsidR="007E7C33">
        <w:rPr>
          <w:rFonts w:ascii="Bookman Old Style" w:hAnsi="Bookman Old Style" w:cstheme="majorBidi"/>
          <w:i/>
          <w:iCs/>
        </w:rPr>
        <w:t>ta’w</w:t>
      </w:r>
      <w:r w:rsidR="007E7C33">
        <w:rPr>
          <w:rFonts w:ascii="Times New Roman" w:hAnsi="Times New Roman" w:cs="Times New Roman"/>
          <w:i/>
          <w:iCs/>
        </w:rPr>
        <w:t>ȋ</w:t>
      </w:r>
      <w:r w:rsidR="007E7C33">
        <w:rPr>
          <w:rFonts w:ascii="Bookman Old Style" w:hAnsi="Bookman Old Style" w:cstheme="majorBidi"/>
          <w:i/>
          <w:iCs/>
        </w:rPr>
        <w:t xml:space="preserve">dh </w:t>
      </w:r>
      <w:r w:rsidR="007E7C33">
        <w:rPr>
          <w:rFonts w:ascii="Bookman Old Style" w:hAnsi="Bookman Old Style" w:cstheme="majorBidi"/>
        </w:rPr>
        <w:t>adalah sebagai berikut:</w:t>
      </w:r>
    </w:p>
    <w:p w14:paraId="106A3BDF" w14:textId="2A235C62" w:rsidR="00F44F4E" w:rsidRPr="00F44F4E" w:rsidRDefault="00F44F4E" w:rsidP="00F44F4E">
      <w:pPr>
        <w:spacing w:after="0" w:line="240" w:lineRule="auto"/>
        <w:ind w:firstLine="720"/>
        <w:jc w:val="right"/>
        <w:rPr>
          <w:rFonts w:ascii="Traditional Arabic" w:hAnsi="Traditional Arabic" w:cs="Traditional Arabic"/>
          <w:sz w:val="32"/>
          <w:szCs w:val="32"/>
        </w:rPr>
      </w:pPr>
      <w:r w:rsidRPr="00F44F4E">
        <w:rPr>
          <w:rFonts w:ascii="Traditional Arabic" w:hAnsi="Traditional Arabic" w:cs="Traditional Arabic"/>
          <w:sz w:val="32"/>
          <w:szCs w:val="32"/>
          <w:rtl/>
        </w:rPr>
        <w:t>ما يجبربه المتسبب الضرر من عين او قيمة</w:t>
      </w:r>
    </w:p>
    <w:p w14:paraId="1CC677E6" w14:textId="62AFC476" w:rsidR="007E7C33" w:rsidRPr="00484AB2" w:rsidRDefault="007E7C33" w:rsidP="007E6B63">
      <w:pPr>
        <w:spacing w:after="0" w:line="240" w:lineRule="auto"/>
        <w:ind w:left="720"/>
        <w:jc w:val="both"/>
        <w:rPr>
          <w:rFonts w:ascii="Bookman Old Style" w:hAnsi="Bookman Old Style"/>
        </w:rPr>
      </w:pPr>
      <w:r w:rsidRPr="007E6B63">
        <w:rPr>
          <w:rFonts w:ascii="Bookman Old Style" w:hAnsi="Bookman Old Style"/>
        </w:rPr>
        <w:t>“</w:t>
      </w:r>
      <w:r w:rsidR="007E6B63" w:rsidRPr="00FD6550">
        <w:rPr>
          <w:rFonts w:ascii="Bookman Old Style" w:hAnsi="Bookman Old Style"/>
          <w:i/>
          <w:iCs/>
        </w:rPr>
        <w:t>Apa-apa yang harus diganti oleh seseorang yang menyebabkan kerusakan pada orang lain baik berupa benda atau nilai (harga dari benda tersebut)”</w:t>
      </w:r>
      <w:r w:rsidR="00484AB2">
        <w:rPr>
          <w:rFonts w:ascii="Bookman Old Style" w:hAnsi="Bookman Old Style"/>
          <w:i/>
          <w:iCs/>
        </w:rPr>
        <w:fldChar w:fldCharType="begin" w:fldLock="1"/>
      </w:r>
      <w:r w:rsidR="00913241">
        <w:rPr>
          <w:rFonts w:ascii="Bookman Old Style" w:hAnsi="Bookman Old Style"/>
          <w:i/>
          <w:iCs/>
        </w:rPr>
        <w:instrText>ADDIN CSL_CITATION {"citationItems":[{"id":"ITEM-1","itemData":{"author":[{"dropping-particle":"","family":"Muhammad Ibn Abd al-‘Aziz Abu ‘Abah","given":"","non-dropping-particle":"","parse-names":false,"suffix":""}],"id":"ITEM-1","issued":{"date-parts":[["2011"]]},"number-of-pages":"35","publisher":"Pascasarjana Universitas Nayef al-‘Arabiyyah","publisher-place":"Riyadh","title":"al-Ta’w</w:instrText>
      </w:r>
      <w:r w:rsidR="00913241">
        <w:rPr>
          <w:rFonts w:ascii="Cambria" w:hAnsi="Cambria" w:cs="Cambria"/>
          <w:i/>
          <w:iCs/>
        </w:rPr>
        <w:instrText>ȋ</w:instrText>
      </w:r>
      <w:r w:rsidR="00913241">
        <w:rPr>
          <w:rFonts w:ascii="Bookman Old Style" w:hAnsi="Bookman Old Style"/>
          <w:i/>
          <w:iCs/>
        </w:rPr>
        <w:instrText xml:space="preserve">dh </w:instrText>
      </w:r>
      <w:r w:rsidR="00913241">
        <w:rPr>
          <w:rFonts w:ascii="Bookman Old Style" w:hAnsi="Bookman Old Style" w:cs="Bookman Old Style"/>
          <w:i/>
          <w:iCs/>
        </w:rPr>
        <w:instrText>‘</w:instrText>
      </w:r>
      <w:r w:rsidR="00913241">
        <w:rPr>
          <w:rFonts w:ascii="Bookman Old Style" w:hAnsi="Bookman Old Style"/>
          <w:i/>
          <w:iCs/>
        </w:rPr>
        <w:instrText>An al-Dharar f</w:instrText>
      </w:r>
      <w:r w:rsidR="00913241">
        <w:rPr>
          <w:rFonts w:ascii="Cambria" w:hAnsi="Cambria" w:cs="Cambria"/>
          <w:i/>
          <w:iCs/>
        </w:rPr>
        <w:instrText>ȋ</w:instrText>
      </w:r>
      <w:r w:rsidR="00913241">
        <w:rPr>
          <w:rFonts w:ascii="Bookman Old Style" w:hAnsi="Bookman Old Style"/>
          <w:i/>
          <w:iCs/>
        </w:rPr>
        <w:instrText xml:space="preserve"> al-Fiqh al-Isl</w:instrText>
      </w:r>
      <w:r w:rsidR="00913241">
        <w:rPr>
          <w:rFonts w:ascii="Bookman Old Style" w:hAnsi="Bookman Old Style" w:cs="Bookman Old Style"/>
          <w:i/>
          <w:iCs/>
        </w:rPr>
        <w:instrText>â</w:instrText>
      </w:r>
      <w:r w:rsidR="00913241">
        <w:rPr>
          <w:rFonts w:ascii="Bookman Old Style" w:hAnsi="Bookman Old Style"/>
          <w:i/>
          <w:iCs/>
        </w:rPr>
        <w:instrText>m</w:instrText>
      </w:r>
      <w:r w:rsidR="00913241">
        <w:rPr>
          <w:rFonts w:ascii="Cambria" w:hAnsi="Cambria" w:cs="Cambria"/>
          <w:i/>
          <w:iCs/>
        </w:rPr>
        <w:instrText>ȋ</w:instrText>
      </w:r>
      <w:r w:rsidR="00913241">
        <w:rPr>
          <w:rFonts w:ascii="Bookman Old Style" w:hAnsi="Bookman Old Style"/>
          <w:i/>
          <w:iCs/>
        </w:rPr>
        <w:instrText xml:space="preserve"> wa </w:instrText>
      </w:r>
      <w:r w:rsidR="00913241">
        <w:rPr>
          <w:rFonts w:ascii="Bookman Old Style" w:hAnsi="Bookman Old Style" w:cs="Bookman Old Style"/>
          <w:i/>
          <w:iCs/>
        </w:rPr>
        <w:instrText>‘</w:instrText>
      </w:r>
      <w:r w:rsidR="00913241">
        <w:rPr>
          <w:rFonts w:ascii="Bookman Old Style" w:hAnsi="Bookman Old Style"/>
          <w:i/>
          <w:iCs/>
        </w:rPr>
        <w:instrText>Al</w:instrText>
      </w:r>
      <w:r w:rsidR="00913241">
        <w:rPr>
          <w:rFonts w:ascii="Bookman Old Style" w:hAnsi="Bookman Old Style" w:cs="Bookman Old Style"/>
          <w:i/>
          <w:iCs/>
        </w:rPr>
        <w:instrText>â</w:instrText>
      </w:r>
      <w:r w:rsidR="00913241">
        <w:rPr>
          <w:rFonts w:ascii="Bookman Old Style" w:hAnsi="Bookman Old Style"/>
          <w:i/>
          <w:iCs/>
        </w:rPr>
        <w:instrText>qatuhu bita</w:instrText>
      </w:r>
      <w:r w:rsidR="00913241">
        <w:rPr>
          <w:rFonts w:ascii="Bookman Old Style" w:hAnsi="Bookman Old Style" w:cs="Bookman Old Style"/>
          <w:i/>
          <w:iCs/>
        </w:rPr>
        <w:instrText>’</w:instrText>
      </w:r>
      <w:r w:rsidR="00913241">
        <w:rPr>
          <w:rFonts w:ascii="Bookman Old Style" w:hAnsi="Bookman Old Style"/>
          <w:i/>
          <w:iCs/>
        </w:rPr>
        <w:instrText>w</w:instrText>
      </w:r>
      <w:r w:rsidR="00913241">
        <w:rPr>
          <w:rFonts w:ascii="Cambria" w:hAnsi="Cambria" w:cs="Cambria"/>
          <w:i/>
          <w:iCs/>
        </w:rPr>
        <w:instrText>ȋ</w:instrText>
      </w:r>
      <w:r w:rsidR="00913241">
        <w:rPr>
          <w:rFonts w:ascii="Bookman Old Style" w:hAnsi="Bookman Old Style"/>
          <w:i/>
          <w:iCs/>
        </w:rPr>
        <w:instrText>dh Adhr</w:instrText>
      </w:r>
      <w:r w:rsidR="00913241">
        <w:rPr>
          <w:rFonts w:ascii="Bookman Old Style" w:hAnsi="Bookman Old Style" w:cs="Bookman Old Style"/>
          <w:i/>
          <w:iCs/>
        </w:rPr>
        <w:instrText>â</w:instrText>
      </w:r>
      <w:r w:rsidR="00913241">
        <w:rPr>
          <w:rFonts w:ascii="Bookman Old Style" w:hAnsi="Bookman Old Style"/>
          <w:i/>
          <w:iCs/>
        </w:rPr>
        <w:instrText>r al-Kaw</w:instrText>
      </w:r>
      <w:r w:rsidR="00913241">
        <w:rPr>
          <w:rFonts w:ascii="Bookman Old Style" w:hAnsi="Bookman Old Style" w:cs="Bookman Old Style"/>
          <w:i/>
          <w:iCs/>
        </w:rPr>
        <w:instrText>â</w:instrText>
      </w:r>
      <w:r w:rsidR="00913241">
        <w:rPr>
          <w:rFonts w:ascii="Bookman Old Style" w:hAnsi="Bookman Old Style"/>
          <w:i/>
          <w:iCs/>
        </w:rPr>
        <w:instrText>rits al-Thab</w:instrText>
      </w:r>
      <w:r w:rsidR="00913241">
        <w:rPr>
          <w:rFonts w:ascii="Cambria" w:hAnsi="Cambria" w:cs="Cambria"/>
          <w:i/>
          <w:iCs/>
        </w:rPr>
        <w:instrText>ȋ</w:instrText>
      </w:r>
      <w:r w:rsidR="00913241">
        <w:rPr>
          <w:rFonts w:ascii="Bookman Old Style" w:hAnsi="Bookman Old Style" w:cs="Bookman Old Style"/>
          <w:i/>
          <w:iCs/>
        </w:rPr>
        <w:instrText>’</w:instrText>
      </w:r>
      <w:r w:rsidR="00913241">
        <w:rPr>
          <w:rFonts w:ascii="Bookman Old Style" w:hAnsi="Bookman Old Style"/>
          <w:i/>
          <w:iCs/>
        </w:rPr>
        <w:instrText>iyyah f</w:instrText>
      </w:r>
      <w:r w:rsidR="00913241">
        <w:rPr>
          <w:rFonts w:ascii="Cambria" w:hAnsi="Cambria" w:cs="Cambria"/>
          <w:i/>
          <w:iCs/>
        </w:rPr>
        <w:instrText>ȋ</w:instrText>
      </w:r>
      <w:r w:rsidR="00913241">
        <w:rPr>
          <w:rFonts w:ascii="Bookman Old Style" w:hAnsi="Bookman Old Style"/>
          <w:i/>
          <w:iCs/>
        </w:rPr>
        <w:instrText xml:space="preserve"> al-Nidzh</w:instrText>
      </w:r>
      <w:r w:rsidR="00913241">
        <w:rPr>
          <w:rFonts w:ascii="Bookman Old Style" w:hAnsi="Bookman Old Style" w:cs="Bookman Old Style"/>
          <w:i/>
          <w:iCs/>
        </w:rPr>
        <w:instrText>â</w:instrText>
      </w:r>
      <w:r w:rsidR="00913241">
        <w:rPr>
          <w:rFonts w:ascii="Bookman Old Style" w:hAnsi="Bookman Old Style"/>
          <w:i/>
          <w:iCs/>
        </w:rPr>
        <w:instrText>m al-Su</w:instrText>
      </w:r>
      <w:r w:rsidR="00913241">
        <w:rPr>
          <w:rFonts w:ascii="Bookman Old Style" w:hAnsi="Bookman Old Style" w:cs="Bookman Old Style"/>
          <w:i/>
          <w:iCs/>
        </w:rPr>
        <w:instrText>’</w:instrText>
      </w:r>
      <w:r w:rsidR="00913241">
        <w:rPr>
          <w:rFonts w:ascii="Cambria" w:hAnsi="Cambria" w:cs="Cambria"/>
          <w:i/>
          <w:iCs/>
        </w:rPr>
        <w:instrText>ȗ</w:instrText>
      </w:r>
      <w:r w:rsidR="00913241">
        <w:rPr>
          <w:rFonts w:ascii="Bookman Old Style" w:hAnsi="Bookman Old Style"/>
          <w:i/>
          <w:iCs/>
        </w:rPr>
        <w:instrText>d</w:instrText>
      </w:r>
      <w:r w:rsidR="00913241">
        <w:rPr>
          <w:rFonts w:ascii="Cambria" w:hAnsi="Cambria" w:cs="Cambria"/>
          <w:i/>
          <w:iCs/>
        </w:rPr>
        <w:instrText>ȋ</w:instrText>
      </w:r>
      <w:r w:rsidR="00913241">
        <w:rPr>
          <w:rFonts w:ascii="Bookman Old Style" w:hAnsi="Bookman Old Style"/>
          <w:i/>
          <w:iCs/>
        </w:rPr>
        <w:instrText>","type":"book"},"uris":["http://www.mendeley.com/documents/?uuid=e2029a5b-9eab-4d0e-bc08-b557f02a2d17"]}],"mendeley":{"formattedCitation":"(Muhammad Ibn Abd al-‘Aziz Abu ‘Abah, 2011)","plainTextFormattedCitation":"(Muhammad Ibn Abd al-‘Aziz Abu ‘Abah, 2011)","previouslyFormattedCitation":"(Muhammad Ibn Abd al-‘Aziz Abu ‘Abah, 2011)"},"properties":{"noteIndex":0},"schema":"https://github.com/citation-style-language/schema/raw/master/csl-citation.json"}</w:instrText>
      </w:r>
      <w:r w:rsidR="00484AB2">
        <w:rPr>
          <w:rFonts w:ascii="Bookman Old Style" w:hAnsi="Bookman Old Style"/>
          <w:i/>
          <w:iCs/>
        </w:rPr>
        <w:fldChar w:fldCharType="separate"/>
      </w:r>
      <w:r w:rsidR="00484AB2" w:rsidRPr="00484AB2">
        <w:rPr>
          <w:rFonts w:ascii="Bookman Old Style" w:hAnsi="Bookman Old Style"/>
          <w:iCs/>
          <w:noProof/>
        </w:rPr>
        <w:t>(Muhammad Ibn Abd al-‘Aziz Abu ‘Abah, 2011)</w:t>
      </w:r>
      <w:r w:rsidR="00484AB2">
        <w:rPr>
          <w:rFonts w:ascii="Bookman Old Style" w:hAnsi="Bookman Old Style"/>
          <w:i/>
          <w:iCs/>
        </w:rPr>
        <w:fldChar w:fldCharType="end"/>
      </w:r>
    </w:p>
    <w:p w14:paraId="7DD4983E" w14:textId="641CED0F" w:rsidR="00537253" w:rsidRPr="00C36AEF" w:rsidRDefault="00C36AEF" w:rsidP="00C36AEF">
      <w:pPr>
        <w:spacing w:after="0" w:line="240" w:lineRule="auto"/>
        <w:ind w:firstLine="720"/>
        <w:jc w:val="both"/>
        <w:rPr>
          <w:rFonts w:ascii="Bookman Old Style" w:hAnsi="Bookman Old Style"/>
        </w:rPr>
      </w:pPr>
      <w:r>
        <w:rPr>
          <w:rFonts w:ascii="Bookman Old Style" w:hAnsi="Bookman Old Style"/>
        </w:rPr>
        <w:t xml:space="preserve">Menurut ‘Iyyad Ibn ‘Asaf al-‘Anzi, yang dimaksud dengan </w:t>
      </w:r>
      <w:r>
        <w:rPr>
          <w:rFonts w:ascii="Bookman Old Style" w:hAnsi="Bookman Old Style"/>
          <w:i/>
          <w:iCs/>
        </w:rPr>
        <w:t>ta’w</w:t>
      </w:r>
      <w:r>
        <w:rPr>
          <w:rFonts w:ascii="Times New Roman" w:hAnsi="Times New Roman" w:cs="Times New Roman"/>
          <w:i/>
          <w:iCs/>
        </w:rPr>
        <w:t>ȋ</w:t>
      </w:r>
      <w:r>
        <w:rPr>
          <w:rFonts w:ascii="Bookman Old Style" w:hAnsi="Bookman Old Style"/>
          <w:i/>
          <w:iCs/>
        </w:rPr>
        <w:t xml:space="preserve">dh </w:t>
      </w:r>
      <w:r>
        <w:rPr>
          <w:rFonts w:ascii="Bookman Old Style" w:hAnsi="Bookman Old Style"/>
        </w:rPr>
        <w:t>adalah sebagai berikut:</w:t>
      </w:r>
    </w:p>
    <w:p w14:paraId="6B352871" w14:textId="2FFCBF6C" w:rsidR="00C36AEF" w:rsidRPr="00C36AEF" w:rsidRDefault="00C36AEF" w:rsidP="00C36AEF">
      <w:pPr>
        <w:spacing w:after="0" w:line="240" w:lineRule="auto"/>
        <w:ind w:firstLine="720"/>
        <w:jc w:val="right"/>
        <w:rPr>
          <w:rFonts w:ascii="Traditional Arabic" w:hAnsi="Traditional Arabic" w:cs="Traditional Arabic"/>
          <w:sz w:val="32"/>
          <w:szCs w:val="32"/>
          <w:rtl/>
        </w:rPr>
      </w:pPr>
      <w:r>
        <w:rPr>
          <w:rFonts w:ascii="Traditional Arabic" w:hAnsi="Traditional Arabic" w:cs="Traditional Arabic" w:hint="cs"/>
          <w:sz w:val="32"/>
          <w:szCs w:val="32"/>
          <w:rtl/>
        </w:rPr>
        <w:t>دفع ما وجب من بدل مالى بسبب الحالق ضرر بلغير</w:t>
      </w:r>
    </w:p>
    <w:p w14:paraId="1B781077" w14:textId="3193FA1F" w:rsidR="00C36AEF" w:rsidRPr="00913241" w:rsidRDefault="00C36AEF" w:rsidP="00C36AEF">
      <w:pPr>
        <w:spacing w:after="0" w:line="240" w:lineRule="auto"/>
        <w:ind w:left="720"/>
        <w:jc w:val="both"/>
        <w:rPr>
          <w:rFonts w:ascii="Bookman Old Style" w:hAnsi="Bookman Old Style"/>
        </w:rPr>
      </w:pPr>
      <w:r>
        <w:rPr>
          <w:rFonts w:ascii="Bookman Old Style" w:hAnsi="Bookman Old Style"/>
        </w:rPr>
        <w:t>“</w:t>
      </w:r>
      <w:r>
        <w:rPr>
          <w:rFonts w:ascii="Bookman Old Style" w:hAnsi="Bookman Old Style"/>
          <w:i/>
          <w:iCs/>
        </w:rPr>
        <w:t xml:space="preserve">Menyerahkan penggantian yang dibebankan kepadanya sebagai penggantian yang bersifat kebedaan akibat perbuatan melawan hukum”. </w:t>
      </w:r>
      <w:r w:rsidR="00913241">
        <w:rPr>
          <w:rFonts w:ascii="Bookman Old Style" w:hAnsi="Bookman Old Style"/>
          <w:i/>
          <w:iCs/>
        </w:rPr>
        <w:fldChar w:fldCharType="begin" w:fldLock="1"/>
      </w:r>
      <w:r w:rsidR="00177FAE">
        <w:rPr>
          <w:rFonts w:ascii="Bookman Old Style" w:hAnsi="Bookman Old Style"/>
          <w:i/>
          <w:iCs/>
        </w:rPr>
        <w:instrText>ADDIN CSL_CITATION {"citationItems":[{"id":"ITEM-1","itemData":{"author":[{"dropping-particle":"","family":"Iyyad Ibn ‘Asaf al-‘Anzi","given":"","non-dropping-particle":"","parse-names":false,"suffix":""}],"id":"ITEM-1","issued":{"date-parts":[["2009"]]},"number-of-pages":"326","publisher":"Dâr Kun</w:instrText>
      </w:r>
      <w:r w:rsidR="00177FAE">
        <w:rPr>
          <w:rFonts w:ascii="Cambria" w:hAnsi="Cambria" w:cs="Cambria"/>
          <w:i/>
          <w:iCs/>
        </w:rPr>
        <w:instrText>ȗ</w:instrText>
      </w:r>
      <w:r w:rsidR="00177FAE">
        <w:rPr>
          <w:rFonts w:ascii="Bookman Old Style" w:hAnsi="Bookman Old Style"/>
          <w:i/>
          <w:iCs/>
        </w:rPr>
        <w:instrText>z Isybily</w:instrText>
      </w:r>
      <w:r w:rsidR="00177FAE">
        <w:rPr>
          <w:rFonts w:ascii="Bookman Old Style" w:hAnsi="Bookman Old Style" w:cs="Bookman Old Style"/>
          <w:i/>
          <w:iCs/>
        </w:rPr>
        <w:instrText>â</w:instrText>
      </w:r>
      <w:r w:rsidR="00177FAE">
        <w:rPr>
          <w:rFonts w:ascii="Bookman Old Style" w:hAnsi="Bookman Old Style"/>
          <w:i/>
          <w:iCs/>
        </w:rPr>
        <w:instrText>","publisher-place":"Riyadh","title":"al-Syur</w:instrText>
      </w:r>
      <w:r w:rsidR="00177FAE">
        <w:rPr>
          <w:rFonts w:ascii="Cambria" w:hAnsi="Cambria" w:cs="Cambria"/>
          <w:i/>
          <w:iCs/>
        </w:rPr>
        <w:instrText>ȗ</w:instrText>
      </w:r>
      <w:r w:rsidR="00177FAE">
        <w:rPr>
          <w:rFonts w:ascii="Bookman Old Style" w:hAnsi="Bookman Old Style"/>
          <w:i/>
          <w:iCs/>
        </w:rPr>
        <w:instrText>th al-Ta</w:instrText>
      </w:r>
      <w:r w:rsidR="00177FAE">
        <w:rPr>
          <w:rFonts w:ascii="Bookman Old Style" w:hAnsi="Bookman Old Style" w:cs="Bookman Old Style"/>
          <w:i/>
          <w:iCs/>
        </w:rPr>
        <w:instrText>’</w:instrText>
      </w:r>
      <w:r w:rsidR="00177FAE">
        <w:rPr>
          <w:rFonts w:ascii="Bookman Old Style" w:hAnsi="Bookman Old Style"/>
          <w:i/>
          <w:iCs/>
        </w:rPr>
        <w:instrText>w</w:instrText>
      </w:r>
      <w:r w:rsidR="00177FAE">
        <w:rPr>
          <w:rFonts w:ascii="Cambria" w:hAnsi="Cambria" w:cs="Cambria"/>
          <w:i/>
          <w:iCs/>
        </w:rPr>
        <w:instrText>ȋ</w:instrText>
      </w:r>
      <w:r w:rsidR="00177FAE">
        <w:rPr>
          <w:rFonts w:ascii="Bookman Old Style" w:hAnsi="Bookman Old Style"/>
          <w:i/>
          <w:iCs/>
        </w:rPr>
        <w:instrText>diyyah f</w:instrText>
      </w:r>
      <w:r w:rsidR="00177FAE">
        <w:rPr>
          <w:rFonts w:ascii="Cambria" w:hAnsi="Cambria" w:cs="Cambria"/>
          <w:i/>
          <w:iCs/>
        </w:rPr>
        <w:instrText>ȋ</w:instrText>
      </w:r>
      <w:r w:rsidR="00177FAE">
        <w:rPr>
          <w:rFonts w:ascii="Bookman Old Style" w:hAnsi="Bookman Old Style"/>
          <w:i/>
          <w:iCs/>
        </w:rPr>
        <w:instrText xml:space="preserve"> al-Mu</w:instrText>
      </w:r>
      <w:r w:rsidR="00177FAE">
        <w:rPr>
          <w:rFonts w:ascii="Bookman Old Style" w:hAnsi="Bookman Old Style" w:cs="Bookman Old Style"/>
          <w:i/>
          <w:iCs/>
        </w:rPr>
        <w:instrText>’â</w:instrText>
      </w:r>
      <w:r w:rsidR="00177FAE">
        <w:rPr>
          <w:rFonts w:ascii="Bookman Old Style" w:hAnsi="Bookman Old Style"/>
          <w:i/>
          <w:iCs/>
        </w:rPr>
        <w:instrText>mal</w:instrText>
      </w:r>
      <w:r w:rsidR="00177FAE">
        <w:rPr>
          <w:rFonts w:ascii="Bookman Old Style" w:hAnsi="Bookman Old Style" w:cs="Bookman Old Style"/>
          <w:i/>
          <w:iCs/>
        </w:rPr>
        <w:instrText>â</w:instrText>
      </w:r>
      <w:r w:rsidR="00177FAE">
        <w:rPr>
          <w:rFonts w:ascii="Bookman Old Style" w:hAnsi="Bookman Old Style"/>
          <w:i/>
          <w:iCs/>
        </w:rPr>
        <w:instrText>t al-M</w:instrText>
      </w:r>
      <w:r w:rsidR="00177FAE">
        <w:rPr>
          <w:rFonts w:ascii="Bookman Old Style" w:hAnsi="Bookman Old Style" w:cs="Bookman Old Style"/>
          <w:i/>
          <w:iCs/>
        </w:rPr>
        <w:instrText>â</w:instrText>
      </w:r>
      <w:r w:rsidR="00177FAE">
        <w:rPr>
          <w:rFonts w:ascii="Bookman Old Style" w:hAnsi="Bookman Old Style"/>
          <w:i/>
          <w:iCs/>
        </w:rPr>
        <w:instrText xml:space="preserve">liyyah","type":"book"},"uris":["http://www.mendeley.com/documents/?uuid=2559363d-09a2-4ed4-84fc-f232ba843dca"]}],"mendeley":{"formattedCitation":"(Iyyad Ibn </w:instrText>
      </w:r>
      <w:r w:rsidR="00177FAE">
        <w:rPr>
          <w:rFonts w:ascii="Bookman Old Style" w:hAnsi="Bookman Old Style" w:cs="Bookman Old Style"/>
          <w:i/>
          <w:iCs/>
        </w:rPr>
        <w:instrText>‘</w:instrText>
      </w:r>
      <w:r w:rsidR="00177FAE">
        <w:rPr>
          <w:rFonts w:ascii="Bookman Old Style" w:hAnsi="Bookman Old Style"/>
          <w:i/>
          <w:iCs/>
        </w:rPr>
        <w:instrText>Asaf al-</w:instrText>
      </w:r>
      <w:r w:rsidR="00177FAE">
        <w:rPr>
          <w:rFonts w:ascii="Bookman Old Style" w:hAnsi="Bookman Old Style" w:cs="Bookman Old Style"/>
          <w:i/>
          <w:iCs/>
        </w:rPr>
        <w:instrText>‘</w:instrText>
      </w:r>
      <w:r w:rsidR="00177FAE">
        <w:rPr>
          <w:rFonts w:ascii="Bookman Old Style" w:hAnsi="Bookman Old Style"/>
          <w:i/>
          <w:iCs/>
        </w:rPr>
        <w:instrText>Anzi, 2009)","plainTextFormattedCitation":"(Iyyad Ibn ‘Asaf al-‘Anzi, 2009)","previouslyFormattedCitation":"(Iyyad Ibn ‘Asaf al-‘Anzi, 2009)"},"properties":{"noteIndex":0},"schema":"https://github.com/citation-style-language/schema/raw/master/csl-citation.json"}</w:instrText>
      </w:r>
      <w:r w:rsidR="00913241">
        <w:rPr>
          <w:rFonts w:ascii="Bookman Old Style" w:hAnsi="Bookman Old Style"/>
          <w:i/>
          <w:iCs/>
        </w:rPr>
        <w:fldChar w:fldCharType="separate"/>
      </w:r>
      <w:r w:rsidR="00913241" w:rsidRPr="00913241">
        <w:rPr>
          <w:rFonts w:ascii="Bookman Old Style" w:hAnsi="Bookman Old Style"/>
          <w:iCs/>
          <w:noProof/>
        </w:rPr>
        <w:t>(Iyyad Ibn ‘Asaf al-‘Anzi, 2009)</w:t>
      </w:r>
      <w:r w:rsidR="00913241">
        <w:rPr>
          <w:rFonts w:ascii="Bookman Old Style" w:hAnsi="Bookman Old Style"/>
          <w:i/>
          <w:iCs/>
        </w:rPr>
        <w:fldChar w:fldCharType="end"/>
      </w:r>
    </w:p>
    <w:p w14:paraId="3307D6D9" w14:textId="3AF161B3" w:rsidR="009A741F" w:rsidRDefault="009A741F" w:rsidP="009A741F">
      <w:pPr>
        <w:spacing w:after="0" w:line="240" w:lineRule="auto"/>
        <w:ind w:firstLine="720"/>
        <w:jc w:val="both"/>
        <w:rPr>
          <w:rFonts w:ascii="Bookman Old Style" w:hAnsi="Bookman Old Style"/>
        </w:rPr>
      </w:pPr>
      <w:r>
        <w:rPr>
          <w:rFonts w:ascii="Bookman Old Style" w:hAnsi="Bookman Old Style"/>
        </w:rPr>
        <w:t xml:space="preserve">Berdasrkan definisi para pakar hukum Islam kontemporer di atas, maka fokus pembahasan </w:t>
      </w:r>
      <w:r>
        <w:rPr>
          <w:rFonts w:ascii="Bookman Old Style" w:hAnsi="Bookman Old Style"/>
          <w:i/>
          <w:iCs/>
        </w:rPr>
        <w:t>ta’w</w:t>
      </w:r>
      <w:r>
        <w:rPr>
          <w:rFonts w:ascii="Times New Roman" w:hAnsi="Times New Roman" w:cs="Times New Roman"/>
          <w:i/>
          <w:iCs/>
        </w:rPr>
        <w:t>ȋ</w:t>
      </w:r>
      <w:r>
        <w:rPr>
          <w:rFonts w:ascii="Bookman Old Style" w:hAnsi="Bookman Old Style"/>
          <w:i/>
          <w:iCs/>
        </w:rPr>
        <w:t xml:space="preserve">dh </w:t>
      </w:r>
      <w:r>
        <w:rPr>
          <w:rFonts w:ascii="Bookman Old Style" w:hAnsi="Bookman Old Style"/>
        </w:rPr>
        <w:t>yakni bagaimana menghilangkan kerugian secara materil akibat perbuatan melawan hukum, sehingga pihak yang menderita kerugian tersebut dapat dikembalikan kepada kondisi semula. Bentuk pengembalian dapat berupa mengembalikan barang yang rusak kepada keadaan semula dan apabila hal tersebut sulit atau bahkan tidak mungkin dilakukan, maka dilakukan dalam bentuk pembayaran ganti rugi.</w:t>
      </w:r>
    </w:p>
    <w:p w14:paraId="48AB83C8" w14:textId="2948DD43" w:rsidR="002F1847" w:rsidRDefault="004C6DF6" w:rsidP="004C6DF6">
      <w:pPr>
        <w:spacing w:after="0" w:line="240" w:lineRule="auto"/>
        <w:ind w:firstLine="720"/>
        <w:jc w:val="both"/>
        <w:rPr>
          <w:rFonts w:ascii="Bookman Old Style" w:hAnsi="Bookman Old Style"/>
        </w:rPr>
      </w:pPr>
      <w:r>
        <w:rPr>
          <w:rFonts w:ascii="Bookman Old Style" w:hAnsi="Bookman Old Style"/>
        </w:rPr>
        <w:t xml:space="preserve">Ganti rugi atau </w:t>
      </w:r>
      <w:r>
        <w:rPr>
          <w:rFonts w:ascii="Bookman Old Style" w:hAnsi="Bookman Old Style"/>
          <w:i/>
          <w:iCs/>
        </w:rPr>
        <w:t>ta’w</w:t>
      </w:r>
      <w:r>
        <w:rPr>
          <w:rFonts w:ascii="Times New Roman" w:hAnsi="Times New Roman" w:cs="Times New Roman"/>
          <w:i/>
          <w:iCs/>
        </w:rPr>
        <w:t>ȋ</w:t>
      </w:r>
      <w:r>
        <w:rPr>
          <w:rFonts w:ascii="Bookman Old Style" w:hAnsi="Bookman Old Style"/>
          <w:i/>
          <w:iCs/>
        </w:rPr>
        <w:t>dh</w:t>
      </w:r>
      <w:r>
        <w:rPr>
          <w:rFonts w:ascii="Bookman Old Style" w:hAnsi="Bookman Old Style"/>
        </w:rPr>
        <w:t xml:space="preserve"> memiliki arti penggantian kerugian riil atas kesalahan yang terjadi. Dalam Kompilasi Hukum Ekonomi Syariah (KHES) Pasal 20 ayat 37 dinyatakan bahwa ganti ruhi (</w:t>
      </w:r>
      <w:r>
        <w:rPr>
          <w:rFonts w:ascii="Bookman Old Style" w:hAnsi="Bookman Old Style"/>
          <w:i/>
          <w:iCs/>
        </w:rPr>
        <w:t>ta’w</w:t>
      </w:r>
      <w:r>
        <w:rPr>
          <w:rFonts w:ascii="Times New Roman" w:hAnsi="Times New Roman" w:cs="Times New Roman"/>
          <w:i/>
          <w:iCs/>
        </w:rPr>
        <w:t>ȋ</w:t>
      </w:r>
      <w:r>
        <w:rPr>
          <w:rFonts w:ascii="Bookman Old Style" w:hAnsi="Bookman Old Style"/>
          <w:i/>
          <w:iCs/>
        </w:rPr>
        <w:t>dh</w:t>
      </w:r>
      <w:r>
        <w:rPr>
          <w:rFonts w:ascii="Bookman Old Style" w:hAnsi="Bookman Old Style"/>
        </w:rPr>
        <w:t xml:space="preserve">) adalah penggantian atas kerugian riil yang dibayarkan oleh pihak yang melakukan wanprestasi. Tampaknya pengertian yang digunakan dalam KHES terlihat kurang menyeluruh karena hanya membatasi dalam hal wanprestasi. Hal ini kemunhgkinan dikarenakan dalam peraturan KHES belum mencakup </w:t>
      </w:r>
      <w:r>
        <w:rPr>
          <w:rFonts w:ascii="Bookman Old Style" w:hAnsi="Bookman Old Style"/>
        </w:rPr>
        <w:lastRenderedPageBreak/>
        <w:t xml:space="preserve">permasalahan perbuatan melawan hukum dalam hukum ekonomi syariah dan beru mengakomodasi permasalahan wanprestasi (ingkar janji Pasal 36 KHES). </w:t>
      </w:r>
    </w:p>
    <w:p w14:paraId="59E392F3" w14:textId="0C02AB0C" w:rsidR="000B2511" w:rsidRPr="006D7A64" w:rsidRDefault="006D7A64" w:rsidP="00154B43">
      <w:pPr>
        <w:spacing w:after="0" w:line="240" w:lineRule="auto"/>
        <w:ind w:firstLine="720"/>
        <w:jc w:val="both"/>
        <w:rPr>
          <w:rFonts w:ascii="Bookman Old Style" w:hAnsi="Bookman Old Style"/>
        </w:rPr>
      </w:pPr>
      <w:r>
        <w:rPr>
          <w:rFonts w:ascii="Bookman Old Style" w:hAnsi="Bookman Old Style"/>
        </w:rPr>
        <w:t>Majelis Ulama Indonesia (MUI) melalui Dewan Syariah Nasional (DSN) telah mengeluarkan fatwa Nomor. 43/DSN-MUI/VIII/2004 tentang Ganti Rugi (</w:t>
      </w:r>
      <w:r>
        <w:rPr>
          <w:rFonts w:ascii="Bookman Old Style" w:hAnsi="Bookman Old Style"/>
          <w:i/>
          <w:iCs/>
        </w:rPr>
        <w:t>ta’widh</w:t>
      </w:r>
      <w:r>
        <w:rPr>
          <w:rFonts w:ascii="Bookman Old Style" w:hAnsi="Bookman Old Style"/>
        </w:rPr>
        <w:t>).</w:t>
      </w:r>
      <w:r w:rsidR="00E4447B">
        <w:rPr>
          <w:rFonts w:ascii="Bookman Old Style" w:hAnsi="Bookman Old Style"/>
        </w:rPr>
        <w:fldChar w:fldCharType="begin" w:fldLock="1"/>
      </w:r>
      <w:r w:rsidR="00E4447B">
        <w:rPr>
          <w:rFonts w:ascii="Bookman Old Style" w:hAnsi="Bookman Old Style"/>
        </w:rPr>
        <w:instrText>ADDIN CSL_CITATION {"citationItems":[{"id":"ITEM-1","itemData":{"author":[{"dropping-particle":"","family":"Hasanuddin, Fakhruddin Mansyur","given":"Mega Mustika","non-dropping-particle":"","parse-names":false,"suffix":""}],"container-title":"FATWA DSN MUI KLAUSAL DENDA DAN GANTI RUGI PADA SKIM KPR SYARIAH","id":"ITEM-1","issue":"2","issued":{"date-parts":[["2020"]]},"title":"FATWA DSN MUI KLAUSAL DENDA DAN GANTI RUGI PADA SKIM KPR SYARIAH","type":"article-journal","volume":"7"},"uris":["http://www.mendeley.com/documents/?uuid=52b6c886-5ef9-4336-a4c2-9565bcb302d2"]}],"mendeley":{"formattedCitation":"(Hasanuddin, Fakhruddin Mansyur, 2020)","plainTextFormattedCitation":"(Hasanuddin, Fakhruddin Mansyur, 2020)","previouslyFormattedCitation":"(Hasanuddin, Fakhruddin Mansyur, 2020)"},"properties":{"noteIndex":0},"schema":"https://github.com/citation-style-language/schema/raw/master/csl-citation.json"}</w:instrText>
      </w:r>
      <w:r w:rsidR="00E4447B">
        <w:rPr>
          <w:rFonts w:ascii="Bookman Old Style" w:hAnsi="Bookman Old Style"/>
        </w:rPr>
        <w:fldChar w:fldCharType="separate"/>
      </w:r>
      <w:r w:rsidR="00E4447B" w:rsidRPr="00E4447B">
        <w:rPr>
          <w:rFonts w:ascii="Bookman Old Style" w:hAnsi="Bookman Old Style"/>
          <w:noProof/>
        </w:rPr>
        <w:t>(Hasanuddin, Fakhruddin Mansyur, 2020)</w:t>
      </w:r>
      <w:r w:rsidR="00E4447B">
        <w:rPr>
          <w:rFonts w:ascii="Bookman Old Style" w:hAnsi="Bookman Old Style"/>
        </w:rPr>
        <w:fldChar w:fldCharType="end"/>
      </w:r>
      <w:r>
        <w:rPr>
          <w:rFonts w:ascii="Bookman Old Style" w:hAnsi="Bookman Old Style"/>
        </w:rPr>
        <w:t xml:space="preserve"> Fatwa tersebut sebena</w:t>
      </w:r>
      <w:r w:rsidR="00402AC7">
        <w:rPr>
          <w:rFonts w:ascii="Bookman Old Style" w:hAnsi="Bookman Old Style"/>
        </w:rPr>
        <w:t>r</w:t>
      </w:r>
      <w:r>
        <w:rPr>
          <w:rFonts w:ascii="Bookman Old Style" w:hAnsi="Bookman Old Style"/>
        </w:rPr>
        <w:t>nya ditunjukkan kepada pihak-pihak yang melakukan wanprestasi dalam akad syariah, sehingga pihak-pihak yang dirugikan dapat menuntut ganti rugi (</w:t>
      </w:r>
      <w:r>
        <w:rPr>
          <w:rFonts w:ascii="Bookman Old Style" w:hAnsi="Bookman Old Style"/>
          <w:i/>
          <w:iCs/>
        </w:rPr>
        <w:t>ta’widh</w:t>
      </w:r>
      <w:r>
        <w:rPr>
          <w:rFonts w:ascii="Bookman Old Style" w:hAnsi="Bookman Old Style"/>
        </w:rPr>
        <w:t>). Meskiupun demikian, fatwa DSN tersebut juga dapat dijadikan panduan dalam menentukan ganti rugi akibat perbuatan melawan hukum (</w:t>
      </w:r>
      <w:r>
        <w:rPr>
          <w:rFonts w:ascii="Bookman Old Style" w:hAnsi="Bookman Old Style"/>
          <w:i/>
          <w:iCs/>
        </w:rPr>
        <w:t>fi’l al-dharar</w:t>
      </w:r>
      <w:r>
        <w:rPr>
          <w:rFonts w:ascii="Bookman Old Style" w:hAnsi="Bookman Old Style"/>
        </w:rPr>
        <w:t xml:space="preserve">). </w:t>
      </w:r>
    </w:p>
    <w:p w14:paraId="4AB109E0" w14:textId="68C9E069" w:rsidR="00CC0947" w:rsidRDefault="00234AD8" w:rsidP="008A27D4">
      <w:pPr>
        <w:spacing w:after="0" w:line="240" w:lineRule="auto"/>
        <w:ind w:firstLine="720"/>
        <w:jc w:val="both"/>
        <w:rPr>
          <w:rFonts w:ascii="Bookman Old Style" w:hAnsi="Bookman Old Style"/>
        </w:rPr>
      </w:pPr>
      <w:r>
        <w:rPr>
          <w:rFonts w:ascii="Bookman Old Style" w:hAnsi="Bookman Old Style"/>
        </w:rPr>
        <w:t>Meurut penulis, s</w:t>
      </w:r>
      <w:r w:rsidR="00934825">
        <w:rPr>
          <w:rFonts w:ascii="Bookman Old Style" w:hAnsi="Bookman Old Style"/>
        </w:rPr>
        <w:t>uatu kerugian dapat disebabkan oleh perbuatan melawan hukum (</w:t>
      </w:r>
      <w:r w:rsidR="00934825">
        <w:rPr>
          <w:rFonts w:ascii="Bookman Old Style" w:hAnsi="Bookman Old Style"/>
          <w:i/>
          <w:iCs/>
        </w:rPr>
        <w:t>fi’l al-dharar</w:t>
      </w:r>
      <w:r w:rsidR="00934825">
        <w:rPr>
          <w:rFonts w:ascii="Bookman Old Style" w:hAnsi="Bookman Old Style"/>
        </w:rPr>
        <w:t>), sehingga berimplikasi kepada adanya kerugian kepada orang lain dan dapat pula disebabkan oleh wanprestasi. Kerugian yang disebabkan oleh perbuatan melawan hukum, maka pelakunya wajib memberi ganti rugi akibat perbuatan yang dilakukannya. Dalam menentukan ganti rugi, harus mempertimbangkan berbagai hal.</w:t>
      </w:r>
    </w:p>
    <w:p w14:paraId="23B3001A" w14:textId="77777777" w:rsidR="005234DE" w:rsidRDefault="005234DE" w:rsidP="008A27D4">
      <w:pPr>
        <w:spacing w:after="0" w:line="240" w:lineRule="auto"/>
        <w:ind w:firstLine="720"/>
        <w:jc w:val="both"/>
        <w:rPr>
          <w:rFonts w:ascii="Bookman Old Style" w:hAnsi="Bookman Old Style"/>
        </w:rPr>
      </w:pPr>
    </w:p>
    <w:p w14:paraId="72C5CCA5" w14:textId="5F63DE6F" w:rsidR="006D7A64" w:rsidRDefault="009D1E9E" w:rsidP="008A27D4">
      <w:pPr>
        <w:spacing w:after="0" w:line="240" w:lineRule="auto"/>
        <w:ind w:firstLine="720"/>
        <w:jc w:val="both"/>
        <w:rPr>
          <w:rFonts w:ascii="Bookman Old Style" w:hAnsi="Bookman Old Style"/>
        </w:rPr>
      </w:pPr>
      <w:r>
        <w:rPr>
          <w:rFonts w:ascii="Bookman Old Style" w:hAnsi="Bookman Old Style"/>
        </w:rPr>
        <w:t xml:space="preserve">Asmuni menginformasikan bahwa, </w:t>
      </w:r>
      <w:r w:rsidR="006D7A64">
        <w:rPr>
          <w:rFonts w:ascii="Bookman Old Style" w:hAnsi="Bookman Old Style"/>
        </w:rPr>
        <w:t xml:space="preserve">ada 4 (empat) prinsip yang harus diperhatian berkaitan dengan tuntutan gati rugi dalam perspektif hukum ekonomi syariah. </w:t>
      </w:r>
      <w:r w:rsidR="006D7A64">
        <w:rPr>
          <w:rFonts w:ascii="Bookman Old Style" w:hAnsi="Bookman Old Style"/>
          <w:i/>
          <w:iCs/>
        </w:rPr>
        <w:t xml:space="preserve">Pertama, </w:t>
      </w:r>
      <w:r w:rsidR="006D7A64">
        <w:rPr>
          <w:rFonts w:ascii="Bookman Old Style" w:hAnsi="Bookman Old Style"/>
        </w:rPr>
        <w:t xml:space="preserve">prinsip </w:t>
      </w:r>
      <w:r w:rsidR="006D7A64">
        <w:rPr>
          <w:rFonts w:ascii="Bookman Old Style" w:hAnsi="Bookman Old Style"/>
          <w:i/>
          <w:iCs/>
        </w:rPr>
        <w:t xml:space="preserve">al-yusr </w:t>
      </w:r>
      <w:r w:rsidR="006D7A64">
        <w:rPr>
          <w:rFonts w:ascii="Bookman Old Style" w:hAnsi="Bookman Old Style"/>
        </w:rPr>
        <w:t xml:space="preserve">(memudahkan) dalam menghitung dan mengukur ganti rugi untuk menghindari proses dan prosedur yang panjang di pengadilan agar para pencari keadilan tidak terlalu lama menunggu haknya; </w:t>
      </w:r>
      <w:r w:rsidR="006D7A64">
        <w:rPr>
          <w:rFonts w:ascii="Bookman Old Style" w:hAnsi="Bookman Old Style"/>
          <w:i/>
          <w:iCs/>
        </w:rPr>
        <w:t>kedua</w:t>
      </w:r>
      <w:r w:rsidR="006D7A64">
        <w:rPr>
          <w:rFonts w:ascii="Bookman Old Style" w:hAnsi="Bookman Old Style"/>
        </w:rPr>
        <w:t>, konsiste</w:t>
      </w:r>
      <w:r w:rsidR="00D67AD5">
        <w:rPr>
          <w:rFonts w:ascii="Bookman Old Style" w:hAnsi="Bookman Old Style"/>
        </w:rPr>
        <w:t>n</w:t>
      </w:r>
      <w:r w:rsidR="006D7A64">
        <w:rPr>
          <w:rFonts w:ascii="Bookman Old Style" w:hAnsi="Bookman Old Style"/>
        </w:rPr>
        <w:t xml:space="preserve">, yaitu terdapat keseragaman kualitas dan kuantitas ganti rugi dalam kasus yang sama pula; </w:t>
      </w:r>
      <w:r w:rsidR="006D7A64">
        <w:rPr>
          <w:rFonts w:ascii="Bookman Old Style" w:hAnsi="Bookman Old Style"/>
          <w:i/>
          <w:iCs/>
        </w:rPr>
        <w:t xml:space="preserve">ketiga, </w:t>
      </w:r>
      <w:r w:rsidR="006D7A64">
        <w:rPr>
          <w:rFonts w:ascii="Bookman Old Style" w:hAnsi="Bookman Old Style"/>
        </w:rPr>
        <w:t>menyamakan (</w:t>
      </w:r>
      <w:r w:rsidR="006D7A64">
        <w:rPr>
          <w:rFonts w:ascii="Bookman Old Style" w:hAnsi="Bookman Old Style"/>
          <w:i/>
          <w:iCs/>
        </w:rPr>
        <w:t>al-musâwah</w:t>
      </w:r>
      <w:r w:rsidR="006D7A64">
        <w:rPr>
          <w:rFonts w:ascii="Bookman Old Style" w:hAnsi="Bookman Old Style"/>
        </w:rPr>
        <w:t>) antara semua pendudukan dalam menerima ganti rugi. Prinsip persamaan di depan hukum merupakan bagian dari yang melahirkan keadilan (</w:t>
      </w:r>
      <w:r w:rsidR="006D7A64" w:rsidRPr="006D7A64">
        <w:rPr>
          <w:rFonts w:ascii="Bookman Old Style" w:hAnsi="Bookman Old Style"/>
          <w:i/>
          <w:iCs/>
        </w:rPr>
        <w:t>equality before the law</w:t>
      </w:r>
      <w:r w:rsidR="006D7A64">
        <w:rPr>
          <w:rFonts w:ascii="Bookman Old Style" w:hAnsi="Bookman Old Style"/>
        </w:rPr>
        <w:t xml:space="preserve">); dan </w:t>
      </w:r>
      <w:r w:rsidR="006D7A64">
        <w:rPr>
          <w:rFonts w:ascii="Bookman Old Style" w:hAnsi="Bookman Old Style"/>
          <w:i/>
          <w:iCs/>
        </w:rPr>
        <w:t>keempat</w:t>
      </w:r>
      <w:r w:rsidR="006D7A64">
        <w:rPr>
          <w:rFonts w:ascii="Bookman Old Style" w:hAnsi="Bookman Old Style"/>
        </w:rPr>
        <w:t>, harus terlebih dahulu mengidentifkasi dan menetapkan tingkat keterlibatan para pelaku. Karena hal ini akan menentukan kualitas ganti rugi yang akan dibebankan kepada mereka.</w:t>
      </w:r>
      <w:r w:rsidR="006D7A64">
        <w:rPr>
          <w:rFonts w:ascii="Bookman Old Style" w:hAnsi="Bookman Old Style"/>
        </w:rPr>
        <w:fldChar w:fldCharType="begin" w:fldLock="1"/>
      </w:r>
      <w:r w:rsidR="00B670C5">
        <w:rPr>
          <w:rFonts w:ascii="Bookman Old Style" w:hAnsi="Bookman Old Style"/>
        </w:rPr>
        <w:instrText>ADDIN CSL_CITATION {"citationItems":[{"id":"ITEM-1","itemData":{"author":[{"dropping-particle":"","family":"Asmuni","given":"","non-dropping-particle":"","parse-names":false,"suffix":""}],"container-title":"Millah","id":"ITEM-1","issue":"2","issued":{"date-parts":[["2007"]]},"title":"Teori Ganti Rugi (Dhaman) Perspektif Hukum Islam","type":"article-journal","volume":"VI"},"uris":["http://www.mendeley.com/documents/?uuid=7cbf2ef2-a1fb-422f-ac62-2c21a558165d"]}],"mendeley":{"formattedCitation":"(Asmuni, 2007)","plainTextFormattedCitation":"(Asmuni, 2007)","previouslyFormattedCitation":"(Asmuni, 2007)"},"properties":{"noteIndex":0},"schema":"https://github.com/citation-style-language/schema/raw/master/csl-citation.json"}</w:instrText>
      </w:r>
      <w:r w:rsidR="006D7A64">
        <w:rPr>
          <w:rFonts w:ascii="Bookman Old Style" w:hAnsi="Bookman Old Style"/>
        </w:rPr>
        <w:fldChar w:fldCharType="separate"/>
      </w:r>
      <w:r w:rsidR="006D7A64" w:rsidRPr="006D7A64">
        <w:rPr>
          <w:rFonts w:ascii="Bookman Old Style" w:hAnsi="Bookman Old Style"/>
          <w:noProof/>
        </w:rPr>
        <w:t>(Asmuni, 2007)</w:t>
      </w:r>
      <w:r w:rsidR="006D7A64">
        <w:rPr>
          <w:rFonts w:ascii="Bookman Old Style" w:hAnsi="Bookman Old Style"/>
        </w:rPr>
        <w:fldChar w:fldCharType="end"/>
      </w:r>
      <w:r w:rsidR="006D7A64">
        <w:rPr>
          <w:rFonts w:ascii="Bookman Old Style" w:hAnsi="Bookman Old Style"/>
        </w:rPr>
        <w:t xml:space="preserve">. </w:t>
      </w:r>
    </w:p>
    <w:p w14:paraId="66FF01CC" w14:textId="01865C0A" w:rsidR="00472E6B" w:rsidRDefault="00472E6B" w:rsidP="00472E6B">
      <w:pPr>
        <w:pStyle w:val="ListParagraph"/>
        <w:numPr>
          <w:ilvl w:val="0"/>
          <w:numId w:val="6"/>
        </w:numPr>
        <w:spacing w:after="0" w:line="240" w:lineRule="auto"/>
        <w:jc w:val="both"/>
        <w:rPr>
          <w:rFonts w:ascii="Bookman Old Style" w:hAnsi="Bookman Old Style"/>
          <w:b/>
          <w:bCs/>
        </w:rPr>
      </w:pPr>
      <w:r>
        <w:rPr>
          <w:rFonts w:ascii="Bookman Old Style" w:hAnsi="Bookman Old Style"/>
          <w:b/>
          <w:bCs/>
        </w:rPr>
        <w:t>PENUTUP</w:t>
      </w:r>
    </w:p>
    <w:p w14:paraId="1A859286" w14:textId="010FB94B" w:rsidR="002000F6" w:rsidRPr="007F3046" w:rsidRDefault="002000F6" w:rsidP="00BB5C84">
      <w:pPr>
        <w:ind w:firstLine="720"/>
        <w:jc w:val="both"/>
        <w:rPr>
          <w:rFonts w:ascii="Bookman Old Style" w:hAnsi="Bookman Old Style"/>
        </w:rPr>
      </w:pPr>
      <w:r w:rsidRPr="007F3046">
        <w:rPr>
          <w:rFonts w:ascii="Bookman Old Style" w:hAnsi="Bookman Old Style"/>
        </w:rPr>
        <w:t xml:space="preserve">Para sarjana hukum Islam kontemporer menyebut bahwa perbuatan melawan hukum dalam </w:t>
      </w:r>
      <w:r w:rsidR="00023C0F">
        <w:rPr>
          <w:rFonts w:ascii="Bookman Old Style" w:hAnsi="Bookman Old Style"/>
        </w:rPr>
        <w:t xml:space="preserve">kajian </w:t>
      </w:r>
      <w:r w:rsidRPr="007F3046">
        <w:rPr>
          <w:rFonts w:ascii="Bookman Old Style" w:hAnsi="Bookman Old Style"/>
        </w:rPr>
        <w:t xml:space="preserve">hukum ekonomi syariah </w:t>
      </w:r>
      <w:r w:rsidR="003A46E6">
        <w:rPr>
          <w:rFonts w:ascii="Bookman Old Style" w:hAnsi="Bookman Old Style"/>
        </w:rPr>
        <w:t>disebut</w:t>
      </w:r>
      <w:r w:rsidRPr="007F3046">
        <w:rPr>
          <w:rFonts w:ascii="Bookman Old Style" w:hAnsi="Bookman Old Style"/>
        </w:rPr>
        <w:t xml:space="preserve"> istilah </w:t>
      </w:r>
      <w:r w:rsidRPr="007F3046">
        <w:rPr>
          <w:rFonts w:ascii="Bookman Old Style" w:hAnsi="Bookman Old Style"/>
          <w:i/>
          <w:iCs/>
        </w:rPr>
        <w:t>fi’l al-dharâr</w:t>
      </w:r>
      <w:r w:rsidRPr="007F3046">
        <w:rPr>
          <w:rFonts w:ascii="Bookman Old Style" w:hAnsi="Bookman Old Style"/>
        </w:rPr>
        <w:t xml:space="preserve">. Sama halnya dengan hukum perdata konvensional, aturan mengenai perbuatan melawan hukum dalam hukum ekonomi syariah memiliki landasan yuridis baik dalam Alquran maupun hadis Nabi Saw. </w:t>
      </w:r>
      <w:r w:rsidR="007F3046" w:rsidRPr="007F3046">
        <w:rPr>
          <w:rFonts w:ascii="Bookman Old Style" w:hAnsi="Bookman Old Style"/>
        </w:rPr>
        <w:t xml:space="preserve">Terdapat beberapa </w:t>
      </w:r>
      <w:bookmarkStart w:id="0" w:name="_Hlk64538034"/>
      <w:r w:rsidR="007F3046" w:rsidRPr="007F3046">
        <w:rPr>
          <w:rFonts w:ascii="Bookman Old Style" w:hAnsi="Bookman Old Style"/>
        </w:rPr>
        <w:t xml:space="preserve">objek peruatan yang relevan dengan perbuatan melawan hukum di antaranya adalah </w:t>
      </w:r>
      <w:r w:rsidR="007F3046" w:rsidRPr="007F3046">
        <w:rPr>
          <w:rFonts w:ascii="Bookman Old Style" w:hAnsi="Bookman Old Style"/>
          <w:i/>
          <w:iCs/>
        </w:rPr>
        <w:t>ghasab, itlâf, ta’asuf f</w:t>
      </w:r>
      <w:r w:rsidR="007F3046" w:rsidRPr="007F3046">
        <w:rPr>
          <w:rFonts w:ascii="Cambria" w:hAnsi="Cambria" w:cs="Cambria"/>
          <w:i/>
          <w:iCs/>
        </w:rPr>
        <w:t>ȋ</w:t>
      </w:r>
      <w:r w:rsidR="007F3046" w:rsidRPr="007F3046">
        <w:rPr>
          <w:rFonts w:ascii="Bookman Old Style" w:hAnsi="Bookman Old Style"/>
          <w:i/>
          <w:iCs/>
        </w:rPr>
        <w:t xml:space="preserve"> isti’m</w:t>
      </w:r>
      <w:r w:rsidR="007F3046" w:rsidRPr="007F3046">
        <w:rPr>
          <w:rFonts w:ascii="Bookman Old Style" w:hAnsi="Bookman Old Style" w:cs="Times New Roman"/>
          <w:i/>
          <w:iCs/>
        </w:rPr>
        <w:t>âli al-</w:t>
      </w:r>
      <w:r w:rsidR="007F3046" w:rsidRPr="007F3046">
        <w:rPr>
          <w:rFonts w:ascii="Bookman Old Style" w:hAnsi="Bookman Old Style" w:cs="Times New Roman"/>
          <w:i/>
          <w:iCs/>
          <w:u w:val="single"/>
        </w:rPr>
        <w:t>h</w:t>
      </w:r>
      <w:r w:rsidR="007F3046" w:rsidRPr="007F3046">
        <w:rPr>
          <w:rFonts w:ascii="Bookman Old Style" w:hAnsi="Bookman Old Style" w:cs="Times New Roman"/>
          <w:i/>
          <w:iCs/>
        </w:rPr>
        <w:t xml:space="preserve">aq </w:t>
      </w:r>
      <w:r w:rsidR="007F3046" w:rsidRPr="007F3046">
        <w:rPr>
          <w:rFonts w:ascii="Bookman Old Style" w:hAnsi="Bookman Old Style" w:cs="Times New Roman"/>
        </w:rPr>
        <w:t xml:space="preserve">dan </w:t>
      </w:r>
      <w:r w:rsidR="007F3046" w:rsidRPr="007F3046">
        <w:rPr>
          <w:rFonts w:ascii="Bookman Old Style" w:hAnsi="Bookman Old Style" w:cs="Times New Roman"/>
          <w:i/>
          <w:iCs/>
        </w:rPr>
        <w:t>wadh’ al-yad</w:t>
      </w:r>
      <w:r w:rsidR="007F3046" w:rsidRPr="007F3046">
        <w:rPr>
          <w:rFonts w:ascii="Bookman Old Style" w:hAnsi="Bookman Old Style" w:cs="Times New Roman"/>
        </w:rPr>
        <w:t xml:space="preserve">. </w:t>
      </w:r>
      <w:bookmarkEnd w:id="0"/>
      <w:r w:rsidR="007F3046" w:rsidRPr="007F3046">
        <w:rPr>
          <w:rFonts w:ascii="Bookman Old Style" w:hAnsi="Bookman Old Style" w:cs="Times New Roman"/>
        </w:rPr>
        <w:t xml:space="preserve">Dikatakan sebagai perbuatan melawan hukum </w:t>
      </w:r>
      <w:r w:rsidR="00B5573E">
        <w:rPr>
          <w:rFonts w:ascii="Bookman Old Style" w:hAnsi="Bookman Old Style" w:cs="Times New Roman"/>
        </w:rPr>
        <w:t xml:space="preserve">dalam </w:t>
      </w:r>
      <w:r w:rsidR="007F3046" w:rsidRPr="007F3046">
        <w:rPr>
          <w:rFonts w:ascii="Bookman Old Style" w:hAnsi="Bookman Old Style" w:cs="Times New Roman"/>
        </w:rPr>
        <w:t xml:space="preserve">pandangan syariah apabila memenuhi beberapa unsur diantaranya: (1) </w:t>
      </w:r>
      <w:r w:rsidR="007F3046" w:rsidRPr="007F3046">
        <w:rPr>
          <w:rFonts w:ascii="Bookman Old Style" w:hAnsi="Bookman Old Style"/>
        </w:rPr>
        <w:t>Adanya perbuatan; (2) adanya unsur melawan hukum; (3) adanya unsur kesalahan; (4) adanya unsur kerugian; dan (5) adanya hubungan kausalitas antara kesalahan dan kerugian.</w:t>
      </w:r>
      <w:r w:rsidR="00EE0F6D">
        <w:rPr>
          <w:rFonts w:ascii="Bookman Old Style" w:hAnsi="Bookman Old Style"/>
        </w:rPr>
        <w:t xml:space="preserve"> Adapun konsep prtanggungjwaban hukum atas perbuatan melawan hukum dalam hukum ekonomi syariah disebut dengan </w:t>
      </w:r>
      <w:r w:rsidR="00EE0F6D">
        <w:rPr>
          <w:rFonts w:ascii="Bookman Old Style" w:hAnsi="Bookman Old Style"/>
          <w:i/>
          <w:iCs/>
        </w:rPr>
        <w:t xml:space="preserve">dhamân </w:t>
      </w:r>
      <w:bookmarkStart w:id="1" w:name="_Hlk64538151"/>
      <w:r w:rsidR="00EE0F6D">
        <w:rPr>
          <w:rFonts w:ascii="Bookman Old Style" w:hAnsi="Bookman Old Style"/>
        </w:rPr>
        <w:t>yang melahirkan adanya ganti rugi (</w:t>
      </w:r>
      <w:r w:rsidR="00EE0F6D">
        <w:rPr>
          <w:rFonts w:ascii="Bookman Old Style" w:hAnsi="Bookman Old Style"/>
          <w:i/>
          <w:iCs/>
        </w:rPr>
        <w:t>ta’w</w:t>
      </w:r>
      <w:r w:rsidR="00EE0F6D">
        <w:rPr>
          <w:rFonts w:ascii="Times New Roman" w:hAnsi="Times New Roman" w:cs="Times New Roman"/>
          <w:i/>
          <w:iCs/>
        </w:rPr>
        <w:t>ȋ</w:t>
      </w:r>
      <w:r w:rsidR="00EE0F6D">
        <w:rPr>
          <w:rFonts w:ascii="Bookman Old Style" w:hAnsi="Bookman Old Style"/>
          <w:i/>
          <w:iCs/>
        </w:rPr>
        <w:t>dh</w:t>
      </w:r>
      <w:r w:rsidR="00EE0F6D">
        <w:rPr>
          <w:rFonts w:ascii="Bookman Old Style" w:hAnsi="Bookman Old Style"/>
        </w:rPr>
        <w:t>).</w:t>
      </w:r>
      <w:bookmarkEnd w:id="1"/>
    </w:p>
    <w:p w14:paraId="033780A6" w14:textId="5C4C6F5D" w:rsidR="00E34F41" w:rsidRDefault="00472E6B" w:rsidP="008179FD">
      <w:pPr>
        <w:pStyle w:val="ListParagraph"/>
        <w:numPr>
          <w:ilvl w:val="0"/>
          <w:numId w:val="6"/>
        </w:numPr>
        <w:spacing w:after="0" w:line="240" w:lineRule="auto"/>
        <w:jc w:val="both"/>
        <w:rPr>
          <w:rFonts w:ascii="Bookman Old Style" w:hAnsi="Bookman Old Style"/>
          <w:b/>
          <w:bCs/>
        </w:rPr>
      </w:pPr>
      <w:r>
        <w:rPr>
          <w:rFonts w:ascii="Bookman Old Style" w:hAnsi="Bookman Old Style"/>
          <w:b/>
          <w:bCs/>
        </w:rPr>
        <w:t>DAFTAR PUSTAKA</w:t>
      </w:r>
    </w:p>
    <w:p w14:paraId="7B59205E" w14:textId="3C623671" w:rsidR="00DF09C1" w:rsidRPr="00DF09C1" w:rsidRDefault="00DF09C1" w:rsidP="00DF09C1">
      <w:pPr>
        <w:spacing w:after="0" w:line="240" w:lineRule="auto"/>
        <w:jc w:val="both"/>
        <w:rPr>
          <w:rFonts w:ascii="Bookman Old Style" w:hAnsi="Bookman Old Style"/>
          <w:b/>
          <w:bCs/>
        </w:rPr>
      </w:pPr>
      <w:r>
        <w:rPr>
          <w:rFonts w:ascii="Bookman Old Style" w:hAnsi="Bookman Old Style"/>
          <w:b/>
          <w:bCs/>
        </w:rPr>
        <w:t xml:space="preserve">Buku </w:t>
      </w:r>
    </w:p>
    <w:p w14:paraId="2F671BC3" w14:textId="7FDF97C8" w:rsidR="00CA25A5" w:rsidRPr="00CA25A5" w:rsidRDefault="00CA25A5"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Pr>
          <w:rFonts w:ascii="Bookman Old Style" w:hAnsi="Bookman Old Style"/>
        </w:rPr>
        <w:fldChar w:fldCharType="begin" w:fldLock="1"/>
      </w:r>
      <w:r>
        <w:rPr>
          <w:rFonts w:ascii="Bookman Old Style" w:hAnsi="Bookman Old Style"/>
        </w:rPr>
        <w:instrText xml:space="preserve">ADDIN Mendeley Bibliography CSL_BIBLIOGRAPHY </w:instrText>
      </w:r>
      <w:r>
        <w:rPr>
          <w:rFonts w:ascii="Bookman Old Style" w:hAnsi="Bookman Old Style"/>
        </w:rPr>
        <w:fldChar w:fldCharType="separate"/>
      </w:r>
      <w:r w:rsidRPr="00CA25A5">
        <w:rPr>
          <w:rFonts w:ascii="Bookman Old Style" w:hAnsi="Bookman Old Style" w:cs="Times New Roman"/>
          <w:noProof/>
          <w:szCs w:val="24"/>
        </w:rPr>
        <w:t xml:space="preserve">Abu Bakar al-Kasani. (1986). </w:t>
      </w:r>
      <w:r w:rsidRPr="00CA25A5">
        <w:rPr>
          <w:rFonts w:ascii="Bookman Old Style" w:hAnsi="Bookman Old Style" w:cs="Times New Roman"/>
          <w:i/>
          <w:iCs/>
          <w:noProof/>
          <w:szCs w:val="24"/>
        </w:rPr>
        <w:t>Badâ’i al-Shanâ’i fȋ Tartȋb al-Syarâ’i</w:t>
      </w:r>
      <w:r w:rsidRPr="00CA25A5">
        <w:rPr>
          <w:rFonts w:ascii="Bookman Old Style" w:hAnsi="Bookman Old Style" w:cs="Times New Roman"/>
          <w:noProof/>
          <w:szCs w:val="24"/>
        </w:rPr>
        <w:t>. Dâr al-Kutub al-‘Ilmiyyah.</w:t>
      </w:r>
    </w:p>
    <w:p w14:paraId="21A0DF95" w14:textId="77777777" w:rsidR="00CA25A5" w:rsidRPr="00CA25A5" w:rsidRDefault="00CA25A5"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Abu Muhammad Ghanim. (2013). </w:t>
      </w:r>
      <w:r w:rsidRPr="00CA25A5">
        <w:rPr>
          <w:rFonts w:ascii="Bookman Old Style" w:hAnsi="Bookman Old Style" w:cs="Times New Roman"/>
          <w:i/>
          <w:iCs/>
          <w:noProof/>
          <w:szCs w:val="24"/>
        </w:rPr>
        <w:t>Majmâ al-Dhamânât</w:t>
      </w:r>
      <w:r w:rsidRPr="00CA25A5">
        <w:rPr>
          <w:rFonts w:ascii="Bookman Old Style" w:hAnsi="Bookman Old Style" w:cs="Times New Roman"/>
          <w:noProof/>
          <w:szCs w:val="24"/>
        </w:rPr>
        <w:t>. Dâr al-Salâm.</w:t>
      </w:r>
    </w:p>
    <w:p w14:paraId="33AE2581" w14:textId="77777777" w:rsidR="00CA25A5" w:rsidRPr="00CA25A5" w:rsidRDefault="00CA25A5"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Adam, P. (2017). </w:t>
      </w:r>
      <w:r w:rsidRPr="00CA25A5">
        <w:rPr>
          <w:rFonts w:ascii="Bookman Old Style" w:hAnsi="Bookman Old Style" w:cs="Times New Roman"/>
          <w:i/>
          <w:iCs/>
          <w:noProof/>
          <w:szCs w:val="24"/>
        </w:rPr>
        <w:t xml:space="preserve">Fikih Muâmalah Mâliyah: Konsep, Regulasi dan </w:t>
      </w:r>
      <w:r w:rsidRPr="00CA25A5">
        <w:rPr>
          <w:rFonts w:ascii="Bookman Old Style" w:hAnsi="Bookman Old Style" w:cs="Times New Roman"/>
          <w:i/>
          <w:iCs/>
          <w:noProof/>
          <w:szCs w:val="24"/>
        </w:rPr>
        <w:lastRenderedPageBreak/>
        <w:t>Implementasi</w:t>
      </w:r>
      <w:r w:rsidRPr="00CA25A5">
        <w:rPr>
          <w:rFonts w:ascii="Bookman Old Style" w:hAnsi="Bookman Old Style" w:cs="Times New Roman"/>
          <w:noProof/>
          <w:szCs w:val="24"/>
        </w:rPr>
        <w:t>. Refika Aditama.</w:t>
      </w:r>
    </w:p>
    <w:p w14:paraId="3AE19F8E" w14:textId="77777777" w:rsidR="00CA25A5" w:rsidRPr="00CA25A5" w:rsidRDefault="00CA25A5"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Ahmad Ibn Idris al-Qurafi. (1998). </w:t>
      </w:r>
      <w:r w:rsidRPr="00CA25A5">
        <w:rPr>
          <w:rFonts w:ascii="Bookman Old Style" w:hAnsi="Bookman Old Style" w:cs="Times New Roman"/>
          <w:i/>
          <w:iCs/>
          <w:noProof/>
          <w:szCs w:val="24"/>
        </w:rPr>
        <w:t>al-Furûq fî Anwâr al-Burûq</w:t>
      </w:r>
      <w:r w:rsidRPr="00CA25A5">
        <w:rPr>
          <w:rFonts w:ascii="Bookman Old Style" w:hAnsi="Bookman Old Style" w:cs="Times New Roman"/>
          <w:noProof/>
          <w:szCs w:val="24"/>
        </w:rPr>
        <w:t>. Dar al-Kutub al-‘Ilmiyyah.</w:t>
      </w:r>
    </w:p>
    <w:p w14:paraId="7CB2CE51" w14:textId="77777777" w:rsidR="00CA25A5" w:rsidRPr="00CA25A5" w:rsidRDefault="00CA25A5"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Ahmad Warson Munawwar. (1997). </w:t>
      </w:r>
      <w:r w:rsidRPr="00CA25A5">
        <w:rPr>
          <w:rFonts w:ascii="Bookman Old Style" w:hAnsi="Bookman Old Style" w:cs="Times New Roman"/>
          <w:i/>
          <w:iCs/>
          <w:noProof/>
          <w:szCs w:val="24"/>
        </w:rPr>
        <w:t>Al-Munawwir: Kamus Arab-Indonesia</w:t>
      </w:r>
      <w:r w:rsidRPr="00CA25A5">
        <w:rPr>
          <w:rFonts w:ascii="Bookman Old Style" w:hAnsi="Bookman Old Style" w:cs="Times New Roman"/>
          <w:noProof/>
          <w:szCs w:val="24"/>
        </w:rPr>
        <w:t>. Pustaka Progresif.</w:t>
      </w:r>
    </w:p>
    <w:p w14:paraId="72A2016B" w14:textId="77777777" w:rsidR="00CA25A5" w:rsidRPr="00CA25A5" w:rsidRDefault="00CA25A5"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Al-Suyuthi. (1990). </w:t>
      </w:r>
      <w:r w:rsidRPr="00CA25A5">
        <w:rPr>
          <w:rFonts w:ascii="Bookman Old Style" w:hAnsi="Bookman Old Style" w:cs="Times New Roman"/>
          <w:i/>
          <w:iCs/>
          <w:noProof/>
          <w:szCs w:val="24"/>
        </w:rPr>
        <w:t>al-Asybâh wa al-Nadzâir</w:t>
      </w:r>
      <w:r w:rsidRPr="00CA25A5">
        <w:rPr>
          <w:rFonts w:ascii="Bookman Old Style" w:hAnsi="Bookman Old Style" w:cs="Times New Roman"/>
          <w:noProof/>
          <w:szCs w:val="24"/>
        </w:rPr>
        <w:t>. Dar al-Kutub al-‘Ilmiyyah.</w:t>
      </w:r>
    </w:p>
    <w:p w14:paraId="4C1D59C9" w14:textId="77777777" w:rsidR="00CA25A5" w:rsidRPr="00CA25A5" w:rsidRDefault="00CA25A5"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Ali Haidar. (1991). </w:t>
      </w:r>
      <w:r w:rsidRPr="00CA25A5">
        <w:rPr>
          <w:rFonts w:ascii="Bookman Old Style" w:hAnsi="Bookman Old Style" w:cs="Times New Roman"/>
          <w:i/>
          <w:iCs/>
          <w:noProof/>
          <w:szCs w:val="24"/>
        </w:rPr>
        <w:t>Daur al-Hukkâm fî Syarh Majallah al-Ahkâm</w:t>
      </w:r>
      <w:r w:rsidRPr="00CA25A5">
        <w:rPr>
          <w:rFonts w:ascii="Bookman Old Style" w:hAnsi="Bookman Old Style" w:cs="Times New Roman"/>
          <w:noProof/>
          <w:szCs w:val="24"/>
        </w:rPr>
        <w:t>. Dar al-Jail.</w:t>
      </w:r>
    </w:p>
    <w:p w14:paraId="1D0A4DDC" w14:textId="77777777" w:rsidR="00CA25A5" w:rsidRPr="00CA25A5" w:rsidRDefault="00CA25A5"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Amran Suadi. (2020). </w:t>
      </w:r>
      <w:r w:rsidRPr="00CA25A5">
        <w:rPr>
          <w:rFonts w:ascii="Bookman Old Style" w:hAnsi="Bookman Old Style" w:cs="Times New Roman"/>
          <w:i/>
          <w:iCs/>
          <w:noProof/>
          <w:szCs w:val="24"/>
        </w:rPr>
        <w:t>Wanprestasi Dan Perbuatan Melawan Hukum: Dalam Penyelesaian Sengketa Ekonomi Syariah</w:t>
      </w:r>
      <w:r w:rsidRPr="00CA25A5">
        <w:rPr>
          <w:rFonts w:ascii="Bookman Old Style" w:hAnsi="Bookman Old Style" w:cs="Times New Roman"/>
          <w:noProof/>
          <w:szCs w:val="24"/>
        </w:rPr>
        <w:t>. PT RajaGrafindo Persada.</w:t>
      </w:r>
    </w:p>
    <w:p w14:paraId="2F59C298" w14:textId="1956C4BB" w:rsidR="00CA25A5" w:rsidRDefault="00CA25A5"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Anonimous. (n.d.). </w:t>
      </w:r>
      <w:r w:rsidRPr="00CA25A5">
        <w:rPr>
          <w:rFonts w:ascii="Bookman Old Style" w:hAnsi="Bookman Old Style" w:cs="Times New Roman"/>
          <w:i/>
          <w:iCs/>
          <w:noProof/>
          <w:szCs w:val="24"/>
        </w:rPr>
        <w:t>al-Mausȗ’ah al-Fiqhiyyah al-Kuwaitiyyah</w:t>
      </w:r>
      <w:r w:rsidRPr="00CA25A5">
        <w:rPr>
          <w:rFonts w:ascii="Bookman Old Style" w:hAnsi="Bookman Old Style" w:cs="Times New Roman"/>
          <w:noProof/>
          <w:szCs w:val="24"/>
        </w:rPr>
        <w:t>. Dâr al-Salasil Kuwait.</w:t>
      </w:r>
    </w:p>
    <w:p w14:paraId="11EAB623" w14:textId="41E64E89" w:rsidR="00DF09C1" w:rsidRDefault="00DF09C1" w:rsidP="00DF09C1">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Desmadi Saharuddin. (2015). </w:t>
      </w:r>
      <w:r w:rsidRPr="00CA25A5">
        <w:rPr>
          <w:rFonts w:ascii="Bookman Old Style" w:hAnsi="Bookman Old Style" w:cs="Times New Roman"/>
          <w:i/>
          <w:iCs/>
          <w:noProof/>
          <w:szCs w:val="24"/>
        </w:rPr>
        <w:t>Pembayaran Ganti Rugi pada Asuransi Syariah</w:t>
      </w:r>
      <w:r w:rsidRPr="00CA25A5">
        <w:rPr>
          <w:rFonts w:ascii="Bookman Old Style" w:hAnsi="Bookman Old Style" w:cs="Times New Roman"/>
          <w:noProof/>
          <w:szCs w:val="24"/>
        </w:rPr>
        <w:t>. Kencana Prenada Media Group.</w:t>
      </w:r>
    </w:p>
    <w:p w14:paraId="162653B7" w14:textId="77777777" w:rsidR="00DF09C1" w:rsidRPr="00CA25A5" w:rsidRDefault="00DF09C1" w:rsidP="00DF09C1">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Dhomiri. (2017). </w:t>
      </w:r>
      <w:r w:rsidRPr="00CA25A5">
        <w:rPr>
          <w:rFonts w:ascii="Bookman Old Style" w:hAnsi="Bookman Old Style" w:cs="Times New Roman"/>
          <w:i/>
          <w:iCs/>
          <w:noProof/>
          <w:szCs w:val="24"/>
        </w:rPr>
        <w:t>Gugatan Perbuatan Melawan Hukum Syariah (PMHS) Dalam Hukum Islam</w:t>
      </w:r>
      <w:r w:rsidRPr="00CA25A5">
        <w:rPr>
          <w:rFonts w:ascii="Bookman Old Style" w:hAnsi="Bookman Old Style" w:cs="Times New Roman"/>
          <w:noProof/>
          <w:szCs w:val="24"/>
        </w:rPr>
        <w:t>. Puslitbang Hukum dan Peradilan Mahkamah Agung RI.</w:t>
      </w:r>
    </w:p>
    <w:p w14:paraId="0AF368B6" w14:textId="77777777" w:rsidR="00DF09C1" w:rsidRPr="00CA25A5" w:rsidRDefault="00DF09C1" w:rsidP="00DF09C1">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Dimyauddin Djuwaini. (2015). </w:t>
      </w:r>
      <w:r w:rsidRPr="00CA25A5">
        <w:rPr>
          <w:rFonts w:ascii="Bookman Old Style" w:hAnsi="Bookman Old Style" w:cs="Times New Roman"/>
          <w:i/>
          <w:iCs/>
          <w:noProof/>
          <w:szCs w:val="24"/>
        </w:rPr>
        <w:t>Pengantar Fiqh Muamalah</w:t>
      </w:r>
      <w:r w:rsidRPr="00CA25A5">
        <w:rPr>
          <w:rFonts w:ascii="Bookman Old Style" w:hAnsi="Bookman Old Style" w:cs="Times New Roman"/>
          <w:noProof/>
          <w:szCs w:val="24"/>
        </w:rPr>
        <w:t>. Pustaka Pelajar.</w:t>
      </w:r>
    </w:p>
    <w:p w14:paraId="3B5FC432" w14:textId="66B3D1E6" w:rsidR="00DF09C1" w:rsidRPr="00CA25A5" w:rsidRDefault="00DF09C1"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Hanan binti Muhammad Husain Jastanih. (1998). </w:t>
      </w:r>
      <w:r w:rsidRPr="00CA25A5">
        <w:rPr>
          <w:rFonts w:ascii="Bookman Old Style" w:hAnsi="Bookman Old Style" w:cs="Times New Roman"/>
          <w:i/>
          <w:iCs/>
          <w:noProof/>
          <w:szCs w:val="24"/>
        </w:rPr>
        <w:t>Aqsâm al-‘Uq</w:t>
      </w:r>
      <w:r w:rsidRPr="00CA25A5">
        <w:rPr>
          <w:rFonts w:ascii="Cambria" w:hAnsi="Cambria" w:cs="Cambria"/>
          <w:i/>
          <w:iCs/>
          <w:noProof/>
          <w:szCs w:val="24"/>
        </w:rPr>
        <w:t>ȗ</w:t>
      </w:r>
      <w:r w:rsidRPr="00CA25A5">
        <w:rPr>
          <w:rFonts w:ascii="Bookman Old Style" w:hAnsi="Bookman Old Style" w:cs="Times New Roman"/>
          <w:i/>
          <w:iCs/>
          <w:noProof/>
          <w:szCs w:val="24"/>
        </w:rPr>
        <w:t>d f</w:t>
      </w:r>
      <w:r w:rsidRPr="00CA25A5">
        <w:rPr>
          <w:rFonts w:ascii="Cambria" w:hAnsi="Cambria" w:cs="Cambria"/>
          <w:i/>
          <w:iCs/>
          <w:noProof/>
          <w:szCs w:val="24"/>
        </w:rPr>
        <w:t>ȋ</w:t>
      </w:r>
      <w:r w:rsidRPr="00CA25A5">
        <w:rPr>
          <w:rFonts w:ascii="Bookman Old Style" w:hAnsi="Bookman Old Style" w:cs="Times New Roman"/>
          <w:i/>
          <w:iCs/>
          <w:noProof/>
          <w:szCs w:val="24"/>
        </w:rPr>
        <w:t xml:space="preserve"> al-Fiqh al-Isl</w:t>
      </w:r>
      <w:r w:rsidRPr="00CA25A5">
        <w:rPr>
          <w:rFonts w:ascii="Bookman Old Style" w:hAnsi="Bookman Old Style" w:cs="Bookman Old Style"/>
          <w:i/>
          <w:iCs/>
          <w:noProof/>
          <w:szCs w:val="24"/>
        </w:rPr>
        <w:t>â</w:t>
      </w:r>
      <w:r w:rsidRPr="00CA25A5">
        <w:rPr>
          <w:rFonts w:ascii="Bookman Old Style" w:hAnsi="Bookman Old Style" w:cs="Times New Roman"/>
          <w:i/>
          <w:iCs/>
          <w:noProof/>
          <w:szCs w:val="24"/>
        </w:rPr>
        <w:t>m</w:t>
      </w:r>
      <w:r w:rsidRPr="00CA25A5">
        <w:rPr>
          <w:rFonts w:ascii="Cambria" w:hAnsi="Cambria" w:cs="Cambria"/>
          <w:i/>
          <w:iCs/>
          <w:noProof/>
          <w:szCs w:val="24"/>
        </w:rPr>
        <w:t>ȋ</w:t>
      </w:r>
      <w:r w:rsidRPr="00CA25A5">
        <w:rPr>
          <w:rFonts w:ascii="Bookman Old Style" w:hAnsi="Bookman Old Style" w:cs="Times New Roman"/>
          <w:noProof/>
          <w:szCs w:val="24"/>
        </w:rPr>
        <w:t>. Universitas Umm al-Qura.</w:t>
      </w:r>
    </w:p>
    <w:p w14:paraId="39FCD21F"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Hanbal, A. I. (2001). </w:t>
      </w:r>
      <w:r w:rsidRPr="00CA25A5">
        <w:rPr>
          <w:rFonts w:ascii="Bookman Old Style" w:hAnsi="Bookman Old Style" w:cs="Times New Roman"/>
          <w:i/>
          <w:iCs/>
          <w:noProof/>
          <w:szCs w:val="24"/>
        </w:rPr>
        <w:t>al-Musnad</w:t>
      </w:r>
      <w:r w:rsidRPr="00CA25A5">
        <w:rPr>
          <w:rFonts w:ascii="Bookman Old Style" w:hAnsi="Bookman Old Style" w:cs="Times New Roman"/>
          <w:noProof/>
          <w:szCs w:val="24"/>
        </w:rPr>
        <w:t>. Muasasah al-Risalah.</w:t>
      </w:r>
    </w:p>
    <w:p w14:paraId="30C60AC8" w14:textId="47E843F9" w:rsidR="00DF09C1"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Hasan Elsefy. (2007). </w:t>
      </w:r>
      <w:r w:rsidRPr="00CA25A5">
        <w:rPr>
          <w:rFonts w:ascii="Bookman Old Style" w:hAnsi="Bookman Old Style" w:cs="Times New Roman"/>
          <w:i/>
          <w:iCs/>
          <w:noProof/>
          <w:szCs w:val="24"/>
        </w:rPr>
        <w:t>Islamic Finance A Comparative Jurisprudential Study</w:t>
      </w:r>
      <w:r w:rsidRPr="00CA25A5">
        <w:rPr>
          <w:rFonts w:ascii="Bookman Old Style" w:hAnsi="Bookman Old Style" w:cs="Times New Roman"/>
          <w:noProof/>
          <w:szCs w:val="24"/>
        </w:rPr>
        <w:t>. University of Malaya Press.</w:t>
      </w:r>
    </w:p>
    <w:p w14:paraId="60DA6467"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Ibrahim Anis,  dkk. (1972). </w:t>
      </w:r>
      <w:r w:rsidRPr="00CA25A5">
        <w:rPr>
          <w:rFonts w:ascii="Bookman Old Style" w:hAnsi="Bookman Old Style" w:cs="Times New Roman"/>
          <w:i/>
          <w:iCs/>
          <w:noProof/>
          <w:szCs w:val="24"/>
        </w:rPr>
        <w:t>al-Mu’jâm al-Was</w:t>
      </w:r>
      <w:r w:rsidRPr="00CA25A5">
        <w:rPr>
          <w:rFonts w:ascii="Cambria" w:hAnsi="Cambria" w:cs="Cambria"/>
          <w:i/>
          <w:iCs/>
          <w:noProof/>
          <w:szCs w:val="24"/>
        </w:rPr>
        <w:t>ȋ</w:t>
      </w:r>
      <w:r w:rsidRPr="00CA25A5">
        <w:rPr>
          <w:rFonts w:ascii="Bookman Old Style" w:hAnsi="Bookman Old Style" w:cs="Times New Roman"/>
          <w:i/>
          <w:iCs/>
          <w:noProof/>
          <w:szCs w:val="24"/>
        </w:rPr>
        <w:t>th</w:t>
      </w:r>
      <w:r w:rsidRPr="00CA25A5">
        <w:rPr>
          <w:rFonts w:ascii="Bookman Old Style" w:hAnsi="Bookman Old Style" w:cs="Times New Roman"/>
          <w:noProof/>
          <w:szCs w:val="24"/>
        </w:rPr>
        <w:t>. Majma’ al-Lughah al-‘Arabiyyah.</w:t>
      </w:r>
    </w:p>
    <w:p w14:paraId="354A9E15"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Imron Rosyadi. (2019). </w:t>
      </w:r>
      <w:r w:rsidRPr="00CA25A5">
        <w:rPr>
          <w:rFonts w:ascii="Bookman Old Style" w:hAnsi="Bookman Old Style" w:cs="Times New Roman"/>
          <w:i/>
          <w:iCs/>
          <w:noProof/>
          <w:szCs w:val="24"/>
        </w:rPr>
        <w:t>Akad Nominat Syariah: Implementasi dan Penyelesaian Sengketa</w:t>
      </w:r>
      <w:r w:rsidRPr="00CA25A5">
        <w:rPr>
          <w:rFonts w:ascii="Bookman Old Style" w:hAnsi="Bookman Old Style" w:cs="Times New Roman"/>
          <w:noProof/>
          <w:szCs w:val="24"/>
        </w:rPr>
        <w:t>. Kencana Prenada Media Group.</w:t>
      </w:r>
    </w:p>
    <w:p w14:paraId="0A9F5D3B"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Iyyad Ibn ‘Asaf al-‘Anzi. (2009). </w:t>
      </w:r>
      <w:r w:rsidRPr="00CA25A5">
        <w:rPr>
          <w:rFonts w:ascii="Bookman Old Style" w:hAnsi="Bookman Old Style" w:cs="Times New Roman"/>
          <w:i/>
          <w:iCs/>
          <w:noProof/>
          <w:szCs w:val="24"/>
        </w:rPr>
        <w:t>al-Syur</w:t>
      </w:r>
      <w:r w:rsidRPr="00CA25A5">
        <w:rPr>
          <w:rFonts w:ascii="Cambria" w:hAnsi="Cambria" w:cs="Cambria"/>
          <w:i/>
          <w:iCs/>
          <w:noProof/>
          <w:szCs w:val="24"/>
        </w:rPr>
        <w:t>ȗ</w:t>
      </w:r>
      <w:r w:rsidRPr="00CA25A5">
        <w:rPr>
          <w:rFonts w:ascii="Bookman Old Style" w:hAnsi="Bookman Old Style" w:cs="Times New Roman"/>
          <w:i/>
          <w:iCs/>
          <w:noProof/>
          <w:szCs w:val="24"/>
        </w:rPr>
        <w:t>th al-Ta’w</w:t>
      </w:r>
      <w:r w:rsidRPr="00CA25A5">
        <w:rPr>
          <w:rFonts w:ascii="Cambria" w:hAnsi="Cambria" w:cs="Cambria"/>
          <w:i/>
          <w:iCs/>
          <w:noProof/>
          <w:szCs w:val="24"/>
        </w:rPr>
        <w:t>ȋ</w:t>
      </w:r>
      <w:r w:rsidRPr="00CA25A5">
        <w:rPr>
          <w:rFonts w:ascii="Bookman Old Style" w:hAnsi="Bookman Old Style" w:cs="Times New Roman"/>
          <w:i/>
          <w:iCs/>
          <w:noProof/>
          <w:szCs w:val="24"/>
        </w:rPr>
        <w:t>diyyah f</w:t>
      </w:r>
      <w:r w:rsidRPr="00CA25A5">
        <w:rPr>
          <w:rFonts w:ascii="Cambria" w:hAnsi="Cambria" w:cs="Cambria"/>
          <w:i/>
          <w:iCs/>
          <w:noProof/>
          <w:szCs w:val="24"/>
        </w:rPr>
        <w:t>ȋ</w:t>
      </w:r>
      <w:r w:rsidRPr="00CA25A5">
        <w:rPr>
          <w:rFonts w:ascii="Bookman Old Style" w:hAnsi="Bookman Old Style" w:cs="Times New Roman"/>
          <w:i/>
          <w:iCs/>
          <w:noProof/>
          <w:szCs w:val="24"/>
        </w:rPr>
        <w:t xml:space="preserve"> al-Mu’âmalât al-Mâliyyah</w:t>
      </w:r>
      <w:r w:rsidRPr="00CA25A5">
        <w:rPr>
          <w:rFonts w:ascii="Bookman Old Style" w:hAnsi="Bookman Old Style" w:cs="Times New Roman"/>
          <w:noProof/>
          <w:szCs w:val="24"/>
        </w:rPr>
        <w:t>. Dâr Kun</w:t>
      </w:r>
      <w:r w:rsidRPr="00CA25A5">
        <w:rPr>
          <w:rFonts w:ascii="Cambria" w:hAnsi="Cambria" w:cs="Cambria"/>
          <w:noProof/>
          <w:szCs w:val="24"/>
        </w:rPr>
        <w:t>ȗ</w:t>
      </w:r>
      <w:r w:rsidRPr="00CA25A5">
        <w:rPr>
          <w:rFonts w:ascii="Bookman Old Style" w:hAnsi="Bookman Old Style" w:cs="Times New Roman"/>
          <w:noProof/>
          <w:szCs w:val="24"/>
        </w:rPr>
        <w:t>z Isybilyâ.</w:t>
      </w:r>
    </w:p>
    <w:p w14:paraId="1EC84C7E"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J. Satrio. (1993). </w:t>
      </w:r>
      <w:r w:rsidRPr="00CA25A5">
        <w:rPr>
          <w:rFonts w:ascii="Bookman Old Style" w:hAnsi="Bookman Old Style" w:cs="Times New Roman"/>
          <w:i/>
          <w:iCs/>
          <w:noProof/>
          <w:szCs w:val="24"/>
        </w:rPr>
        <w:t>Hukum Perikatan (Perikatan yang Lahir dari Undang-Undang)</w:t>
      </w:r>
      <w:r w:rsidRPr="00CA25A5">
        <w:rPr>
          <w:rFonts w:ascii="Bookman Old Style" w:hAnsi="Bookman Old Style" w:cs="Times New Roman"/>
          <w:noProof/>
          <w:szCs w:val="24"/>
        </w:rPr>
        <w:t>. Citra Aditya Bakti.</w:t>
      </w:r>
    </w:p>
    <w:p w14:paraId="052B5020"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M. Nurul Irfan. (2011). </w:t>
      </w:r>
      <w:r w:rsidRPr="00CA25A5">
        <w:rPr>
          <w:rFonts w:ascii="Bookman Old Style" w:hAnsi="Bookman Old Style" w:cs="Times New Roman"/>
          <w:i/>
          <w:iCs/>
          <w:noProof/>
          <w:szCs w:val="24"/>
        </w:rPr>
        <w:t>Korupsi dalam Hukum Pidana Islam</w:t>
      </w:r>
      <w:r w:rsidRPr="00CA25A5">
        <w:rPr>
          <w:rFonts w:ascii="Bookman Old Style" w:hAnsi="Bookman Old Style" w:cs="Times New Roman"/>
          <w:noProof/>
          <w:szCs w:val="24"/>
        </w:rPr>
        <w:t>. Amzah.</w:t>
      </w:r>
    </w:p>
    <w:p w14:paraId="69AD80A3"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Muhammad ‘Abd al-Mun’in Abd Zaid. (1997). </w:t>
      </w:r>
      <w:r w:rsidRPr="00CA25A5">
        <w:rPr>
          <w:rFonts w:ascii="Bookman Old Style" w:hAnsi="Bookman Old Style" w:cs="Times New Roman"/>
          <w:i/>
          <w:iCs/>
          <w:noProof/>
          <w:szCs w:val="24"/>
        </w:rPr>
        <w:t>al-Dhamân f</w:t>
      </w:r>
      <w:r w:rsidRPr="00CA25A5">
        <w:rPr>
          <w:rFonts w:ascii="Cambria" w:hAnsi="Cambria" w:cs="Cambria"/>
          <w:i/>
          <w:iCs/>
          <w:noProof/>
          <w:szCs w:val="24"/>
        </w:rPr>
        <w:t>ȋ</w:t>
      </w:r>
      <w:r w:rsidRPr="00CA25A5">
        <w:rPr>
          <w:rFonts w:ascii="Bookman Old Style" w:hAnsi="Bookman Old Style" w:cs="Times New Roman"/>
          <w:i/>
          <w:iCs/>
          <w:noProof/>
          <w:szCs w:val="24"/>
        </w:rPr>
        <w:t xml:space="preserve"> al-Fiqh al-Islâm</w:t>
      </w:r>
      <w:r w:rsidRPr="00CA25A5">
        <w:rPr>
          <w:rFonts w:ascii="Cambria" w:hAnsi="Cambria" w:cs="Cambria"/>
          <w:i/>
          <w:iCs/>
          <w:noProof/>
          <w:szCs w:val="24"/>
        </w:rPr>
        <w:t>ȋ</w:t>
      </w:r>
      <w:r w:rsidRPr="00CA25A5">
        <w:rPr>
          <w:rFonts w:ascii="Bookman Old Style" w:hAnsi="Bookman Old Style" w:cs="Times New Roman"/>
          <w:i/>
          <w:iCs/>
          <w:noProof/>
          <w:szCs w:val="24"/>
        </w:rPr>
        <w:t xml:space="preserve"> wa Tahtb</w:t>
      </w:r>
      <w:r w:rsidRPr="00CA25A5">
        <w:rPr>
          <w:rFonts w:ascii="Cambria" w:hAnsi="Cambria" w:cs="Cambria"/>
          <w:i/>
          <w:iCs/>
          <w:noProof/>
          <w:szCs w:val="24"/>
        </w:rPr>
        <w:t>ȋ</w:t>
      </w:r>
      <w:r w:rsidRPr="00CA25A5">
        <w:rPr>
          <w:rFonts w:ascii="Bookman Old Style" w:hAnsi="Bookman Old Style" w:cs="Times New Roman"/>
          <w:i/>
          <w:iCs/>
          <w:noProof/>
          <w:szCs w:val="24"/>
        </w:rPr>
        <w:t>qatuhu f</w:t>
      </w:r>
      <w:r w:rsidRPr="00CA25A5">
        <w:rPr>
          <w:rFonts w:ascii="Cambria" w:hAnsi="Cambria" w:cs="Cambria"/>
          <w:i/>
          <w:iCs/>
          <w:noProof/>
          <w:szCs w:val="24"/>
        </w:rPr>
        <w:t>ȋ</w:t>
      </w:r>
      <w:r w:rsidRPr="00CA25A5">
        <w:rPr>
          <w:rFonts w:ascii="Bookman Old Style" w:hAnsi="Bookman Old Style" w:cs="Times New Roman"/>
          <w:i/>
          <w:iCs/>
          <w:noProof/>
          <w:szCs w:val="24"/>
        </w:rPr>
        <w:t xml:space="preserve"> al-Mashârif al-Islâmiyyah</w:t>
      </w:r>
      <w:r w:rsidRPr="00CA25A5">
        <w:rPr>
          <w:rFonts w:ascii="Bookman Old Style" w:hAnsi="Bookman Old Style" w:cs="Times New Roman"/>
          <w:noProof/>
          <w:szCs w:val="24"/>
        </w:rPr>
        <w:t>. al-Ma’had al-‘Ali Lil Fikri al-Islami.</w:t>
      </w:r>
    </w:p>
    <w:p w14:paraId="402CE314"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Muhammad Ibn Abd al-‘Aziz Abu ‘Abah. (2011). </w:t>
      </w:r>
      <w:r w:rsidRPr="00CA25A5">
        <w:rPr>
          <w:rFonts w:ascii="Bookman Old Style" w:hAnsi="Bookman Old Style" w:cs="Times New Roman"/>
          <w:i/>
          <w:iCs/>
          <w:noProof/>
          <w:szCs w:val="24"/>
        </w:rPr>
        <w:t>al-Ta’w</w:t>
      </w:r>
      <w:r w:rsidRPr="00CA25A5">
        <w:rPr>
          <w:rFonts w:ascii="Cambria" w:hAnsi="Cambria" w:cs="Cambria"/>
          <w:i/>
          <w:iCs/>
          <w:noProof/>
          <w:szCs w:val="24"/>
        </w:rPr>
        <w:t>ȋ</w:t>
      </w:r>
      <w:r w:rsidRPr="00CA25A5">
        <w:rPr>
          <w:rFonts w:ascii="Bookman Old Style" w:hAnsi="Bookman Old Style" w:cs="Times New Roman"/>
          <w:i/>
          <w:iCs/>
          <w:noProof/>
          <w:szCs w:val="24"/>
        </w:rPr>
        <w:t>dh ‘An al-Dharar f</w:t>
      </w:r>
      <w:r w:rsidRPr="00CA25A5">
        <w:rPr>
          <w:rFonts w:ascii="Cambria" w:hAnsi="Cambria" w:cs="Cambria"/>
          <w:i/>
          <w:iCs/>
          <w:noProof/>
          <w:szCs w:val="24"/>
        </w:rPr>
        <w:t>ȋ</w:t>
      </w:r>
      <w:r w:rsidRPr="00CA25A5">
        <w:rPr>
          <w:rFonts w:ascii="Bookman Old Style" w:hAnsi="Bookman Old Style" w:cs="Times New Roman"/>
          <w:i/>
          <w:iCs/>
          <w:noProof/>
          <w:szCs w:val="24"/>
        </w:rPr>
        <w:t xml:space="preserve"> al-Fiqh al-Islâm</w:t>
      </w:r>
      <w:r w:rsidRPr="00CA25A5">
        <w:rPr>
          <w:rFonts w:ascii="Cambria" w:hAnsi="Cambria" w:cs="Cambria"/>
          <w:i/>
          <w:iCs/>
          <w:noProof/>
          <w:szCs w:val="24"/>
        </w:rPr>
        <w:t>ȋ</w:t>
      </w:r>
      <w:r w:rsidRPr="00CA25A5">
        <w:rPr>
          <w:rFonts w:ascii="Bookman Old Style" w:hAnsi="Bookman Old Style" w:cs="Times New Roman"/>
          <w:i/>
          <w:iCs/>
          <w:noProof/>
          <w:szCs w:val="24"/>
        </w:rPr>
        <w:t xml:space="preserve"> wa “Alâqatuhu bita’w</w:t>
      </w:r>
      <w:r w:rsidRPr="00CA25A5">
        <w:rPr>
          <w:rFonts w:ascii="Cambria" w:hAnsi="Cambria" w:cs="Cambria"/>
          <w:i/>
          <w:iCs/>
          <w:noProof/>
          <w:szCs w:val="24"/>
        </w:rPr>
        <w:t>ȋ</w:t>
      </w:r>
      <w:r w:rsidRPr="00CA25A5">
        <w:rPr>
          <w:rFonts w:ascii="Bookman Old Style" w:hAnsi="Bookman Old Style" w:cs="Times New Roman"/>
          <w:i/>
          <w:iCs/>
          <w:noProof/>
          <w:szCs w:val="24"/>
        </w:rPr>
        <w:t>dh Adhrâr al-Kawârits al-Thab</w:t>
      </w:r>
      <w:r w:rsidRPr="00CA25A5">
        <w:rPr>
          <w:rFonts w:ascii="Cambria" w:hAnsi="Cambria" w:cs="Cambria"/>
          <w:i/>
          <w:iCs/>
          <w:noProof/>
          <w:szCs w:val="24"/>
        </w:rPr>
        <w:t>ȋ</w:t>
      </w:r>
      <w:r w:rsidRPr="00CA25A5">
        <w:rPr>
          <w:rFonts w:ascii="Bookman Old Style" w:hAnsi="Bookman Old Style" w:cs="Times New Roman"/>
          <w:i/>
          <w:iCs/>
          <w:noProof/>
          <w:szCs w:val="24"/>
        </w:rPr>
        <w:t>”iyyah f</w:t>
      </w:r>
      <w:r w:rsidRPr="00CA25A5">
        <w:rPr>
          <w:rFonts w:ascii="Cambria" w:hAnsi="Cambria" w:cs="Cambria"/>
          <w:i/>
          <w:iCs/>
          <w:noProof/>
          <w:szCs w:val="24"/>
        </w:rPr>
        <w:t>ȋ</w:t>
      </w:r>
      <w:r w:rsidRPr="00CA25A5">
        <w:rPr>
          <w:rFonts w:ascii="Bookman Old Style" w:hAnsi="Bookman Old Style" w:cs="Times New Roman"/>
          <w:i/>
          <w:iCs/>
          <w:noProof/>
          <w:szCs w:val="24"/>
        </w:rPr>
        <w:t xml:space="preserve"> al-Nidzhâm al-Su’</w:t>
      </w:r>
      <w:r w:rsidRPr="00CA25A5">
        <w:rPr>
          <w:rFonts w:ascii="Cambria" w:hAnsi="Cambria" w:cs="Cambria"/>
          <w:i/>
          <w:iCs/>
          <w:noProof/>
          <w:szCs w:val="24"/>
        </w:rPr>
        <w:t>ȗ</w:t>
      </w:r>
      <w:r w:rsidRPr="00CA25A5">
        <w:rPr>
          <w:rFonts w:ascii="Bookman Old Style" w:hAnsi="Bookman Old Style" w:cs="Times New Roman"/>
          <w:i/>
          <w:iCs/>
          <w:noProof/>
          <w:szCs w:val="24"/>
        </w:rPr>
        <w:t>d</w:t>
      </w:r>
      <w:r w:rsidRPr="00CA25A5">
        <w:rPr>
          <w:rFonts w:ascii="Cambria" w:hAnsi="Cambria" w:cs="Cambria"/>
          <w:i/>
          <w:iCs/>
          <w:noProof/>
          <w:szCs w:val="24"/>
        </w:rPr>
        <w:t>ȋ</w:t>
      </w:r>
      <w:r w:rsidRPr="00CA25A5">
        <w:rPr>
          <w:rFonts w:ascii="Bookman Old Style" w:hAnsi="Bookman Old Style" w:cs="Times New Roman"/>
          <w:noProof/>
          <w:szCs w:val="24"/>
        </w:rPr>
        <w:t>. Pascasarjana Universitas Nayef al-‘Arabiyyah.</w:t>
      </w:r>
    </w:p>
    <w:p w14:paraId="15104565"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Muhammad Rawas Qal’ajih. (1988). </w:t>
      </w:r>
      <w:r w:rsidRPr="00CA25A5">
        <w:rPr>
          <w:rFonts w:ascii="Bookman Old Style" w:hAnsi="Bookman Old Style" w:cs="Times New Roman"/>
          <w:i/>
          <w:iCs/>
          <w:noProof/>
          <w:szCs w:val="24"/>
        </w:rPr>
        <w:t>Mu’jam Lughat al-Fuqahâ</w:t>
      </w:r>
      <w:r w:rsidRPr="00CA25A5">
        <w:rPr>
          <w:rFonts w:ascii="Bookman Old Style" w:hAnsi="Bookman Old Style" w:cs="Times New Roman"/>
          <w:noProof/>
          <w:szCs w:val="24"/>
        </w:rPr>
        <w:t>. Dâr al-Nafâis.</w:t>
      </w:r>
    </w:p>
    <w:p w14:paraId="2C42DFFA"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Muhammad Zaki Abd al-Bar. (1989). </w:t>
      </w:r>
      <w:r w:rsidRPr="00CA25A5">
        <w:rPr>
          <w:rFonts w:ascii="Bookman Old Style" w:hAnsi="Bookman Old Style" w:cs="Times New Roman"/>
          <w:i/>
          <w:iCs/>
          <w:noProof/>
          <w:szCs w:val="24"/>
        </w:rPr>
        <w:t>Istimâl al-haq f</w:t>
      </w:r>
      <w:r w:rsidRPr="00CA25A5">
        <w:rPr>
          <w:rFonts w:ascii="Cambria" w:hAnsi="Cambria" w:cs="Cambria"/>
          <w:i/>
          <w:iCs/>
          <w:noProof/>
          <w:szCs w:val="24"/>
        </w:rPr>
        <w:t>ȋ</w:t>
      </w:r>
      <w:r w:rsidRPr="00CA25A5">
        <w:rPr>
          <w:rFonts w:ascii="Bookman Old Style" w:hAnsi="Bookman Old Style" w:cs="Times New Roman"/>
          <w:i/>
          <w:iCs/>
          <w:noProof/>
          <w:szCs w:val="24"/>
        </w:rPr>
        <w:t xml:space="preserve"> Fiqh al-Islâm</w:t>
      </w:r>
      <w:r w:rsidRPr="00CA25A5">
        <w:rPr>
          <w:rFonts w:ascii="Cambria" w:hAnsi="Cambria" w:cs="Cambria"/>
          <w:i/>
          <w:iCs/>
          <w:noProof/>
          <w:szCs w:val="24"/>
        </w:rPr>
        <w:t>ȋ</w:t>
      </w:r>
      <w:r w:rsidRPr="00CA25A5">
        <w:rPr>
          <w:rFonts w:ascii="Bookman Old Style" w:hAnsi="Bookman Old Style" w:cs="Times New Roman"/>
          <w:noProof/>
          <w:szCs w:val="24"/>
        </w:rPr>
        <w:t>. Dâr al-Kutub.</w:t>
      </w:r>
    </w:p>
    <w:p w14:paraId="1C973AB6"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Munir Fuady. (2005). </w:t>
      </w:r>
      <w:r w:rsidRPr="00CA25A5">
        <w:rPr>
          <w:rFonts w:ascii="Bookman Old Style" w:hAnsi="Bookman Old Style" w:cs="Times New Roman"/>
          <w:i/>
          <w:iCs/>
          <w:noProof/>
          <w:szCs w:val="24"/>
        </w:rPr>
        <w:t>Perbuatan Melawan Hukum Pendekatan Kontemporer</w:t>
      </w:r>
      <w:r w:rsidRPr="00CA25A5">
        <w:rPr>
          <w:rFonts w:ascii="Bookman Old Style" w:hAnsi="Bookman Old Style" w:cs="Times New Roman"/>
          <w:noProof/>
          <w:szCs w:val="24"/>
        </w:rPr>
        <w:t>. Citra Aditya Bakti.</w:t>
      </w:r>
    </w:p>
    <w:p w14:paraId="70B41721" w14:textId="73B70F1B" w:rsidR="00D21A89"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R. Subekti. (1982). </w:t>
      </w:r>
      <w:r w:rsidRPr="00CA25A5">
        <w:rPr>
          <w:rFonts w:ascii="Bookman Old Style" w:hAnsi="Bookman Old Style" w:cs="Times New Roman"/>
          <w:i/>
          <w:iCs/>
          <w:noProof/>
          <w:szCs w:val="24"/>
        </w:rPr>
        <w:t>Pokok-Pokok Hukum Perdata</w:t>
      </w:r>
      <w:r w:rsidRPr="00CA25A5">
        <w:rPr>
          <w:rFonts w:ascii="Bookman Old Style" w:hAnsi="Bookman Old Style" w:cs="Times New Roman"/>
          <w:noProof/>
          <w:szCs w:val="24"/>
        </w:rPr>
        <w:t>. Intermasa.</w:t>
      </w:r>
    </w:p>
    <w:p w14:paraId="45CA5E54"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Syamsul Anwar. (2017). </w:t>
      </w:r>
      <w:r w:rsidRPr="00CA25A5">
        <w:rPr>
          <w:rFonts w:ascii="Bookman Old Style" w:hAnsi="Bookman Old Style" w:cs="Times New Roman"/>
          <w:i/>
          <w:iCs/>
          <w:noProof/>
          <w:szCs w:val="24"/>
        </w:rPr>
        <w:t>Hukum Perjanjian Syariah: Studi tentang Teori Akad dalam Fikih Muamalat</w:t>
      </w:r>
      <w:r w:rsidRPr="00CA25A5">
        <w:rPr>
          <w:rFonts w:ascii="Bookman Old Style" w:hAnsi="Bookman Old Style" w:cs="Times New Roman"/>
          <w:noProof/>
          <w:szCs w:val="24"/>
        </w:rPr>
        <w:t>. PT RajaGrafindo Persada.</w:t>
      </w:r>
    </w:p>
    <w:p w14:paraId="7F919FB8"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Syubair, M. U. (2010). </w:t>
      </w:r>
      <w:r w:rsidRPr="00CA25A5">
        <w:rPr>
          <w:rFonts w:ascii="Bookman Old Style" w:hAnsi="Bookman Old Style" w:cs="Times New Roman"/>
          <w:i/>
          <w:iCs/>
          <w:noProof/>
          <w:szCs w:val="24"/>
        </w:rPr>
        <w:t>Al-Madkhal Ila Fiqh al-Mu’amalat al-Maliyyah: al-Mal, al-Milkiyyah, al-’Aqd</w:t>
      </w:r>
      <w:r w:rsidRPr="00CA25A5">
        <w:rPr>
          <w:rFonts w:ascii="Bookman Old Style" w:hAnsi="Bookman Old Style" w:cs="Times New Roman"/>
          <w:noProof/>
          <w:szCs w:val="24"/>
        </w:rPr>
        <w:t>. Dar al-Nafais.</w:t>
      </w:r>
    </w:p>
    <w:p w14:paraId="10A94291"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Wahbah al-Zuhaili. (1997). </w:t>
      </w:r>
      <w:r w:rsidRPr="00CA25A5">
        <w:rPr>
          <w:rFonts w:ascii="Bookman Old Style" w:hAnsi="Bookman Old Style" w:cs="Times New Roman"/>
          <w:i/>
          <w:iCs/>
          <w:noProof/>
          <w:szCs w:val="24"/>
        </w:rPr>
        <w:t>al-Fiqh al-Islâm</w:t>
      </w:r>
      <w:r w:rsidRPr="00CA25A5">
        <w:rPr>
          <w:rFonts w:ascii="Cambria" w:hAnsi="Cambria" w:cs="Cambria"/>
          <w:i/>
          <w:iCs/>
          <w:noProof/>
          <w:szCs w:val="24"/>
        </w:rPr>
        <w:t>ȋ</w:t>
      </w:r>
      <w:r w:rsidRPr="00CA25A5">
        <w:rPr>
          <w:rFonts w:ascii="Bookman Old Style" w:hAnsi="Bookman Old Style" w:cs="Times New Roman"/>
          <w:i/>
          <w:iCs/>
          <w:noProof/>
          <w:szCs w:val="24"/>
        </w:rPr>
        <w:t xml:space="preserve"> wa Adillatuh</w:t>
      </w:r>
      <w:r w:rsidRPr="00CA25A5">
        <w:rPr>
          <w:rFonts w:ascii="Bookman Old Style" w:hAnsi="Bookman Old Style" w:cs="Times New Roman"/>
          <w:noProof/>
          <w:szCs w:val="24"/>
        </w:rPr>
        <w:t>. Dâr al-Fikr.</w:t>
      </w:r>
    </w:p>
    <w:p w14:paraId="486B7DBB"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Wahbah al-Zuhaili. (2012a). </w:t>
      </w:r>
      <w:r w:rsidRPr="00CA25A5">
        <w:rPr>
          <w:rFonts w:ascii="Bookman Old Style" w:hAnsi="Bookman Old Style" w:cs="Times New Roman"/>
          <w:i/>
          <w:iCs/>
          <w:noProof/>
          <w:szCs w:val="24"/>
        </w:rPr>
        <w:t>Mausû’ah al-fiqh al-Islâmî wa al-Qadhayâ al-Mu’âshirah</w:t>
      </w:r>
      <w:r w:rsidRPr="00CA25A5">
        <w:rPr>
          <w:rFonts w:ascii="Bookman Old Style" w:hAnsi="Bookman Old Style" w:cs="Times New Roman"/>
          <w:noProof/>
          <w:szCs w:val="24"/>
        </w:rPr>
        <w:t>. Dar al-Fikr.</w:t>
      </w:r>
    </w:p>
    <w:p w14:paraId="5EC34C98"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Wahbah al-Zuhaili. (2012b). </w:t>
      </w:r>
      <w:r w:rsidRPr="00CA25A5">
        <w:rPr>
          <w:rFonts w:ascii="Bookman Old Style" w:hAnsi="Bookman Old Style" w:cs="Times New Roman"/>
          <w:i/>
          <w:iCs/>
          <w:noProof/>
          <w:szCs w:val="24"/>
        </w:rPr>
        <w:t>Nadzariyyat al-Dhâman aw ahkâm al-Mas’uliyyah al-Madaniyyah wa al-jinâiyyah f</w:t>
      </w:r>
      <w:r w:rsidRPr="00CA25A5">
        <w:rPr>
          <w:rFonts w:ascii="Cambria" w:hAnsi="Cambria" w:cs="Cambria"/>
          <w:i/>
          <w:iCs/>
          <w:noProof/>
          <w:szCs w:val="24"/>
        </w:rPr>
        <w:t>ȋ</w:t>
      </w:r>
      <w:r w:rsidRPr="00CA25A5">
        <w:rPr>
          <w:rFonts w:ascii="Bookman Old Style" w:hAnsi="Bookman Old Style" w:cs="Times New Roman"/>
          <w:i/>
          <w:iCs/>
          <w:noProof/>
          <w:szCs w:val="24"/>
        </w:rPr>
        <w:t xml:space="preserve"> al-Fiqh al-Islâm</w:t>
      </w:r>
      <w:r w:rsidRPr="00CA25A5">
        <w:rPr>
          <w:rFonts w:ascii="Cambria" w:hAnsi="Cambria" w:cs="Cambria"/>
          <w:i/>
          <w:iCs/>
          <w:noProof/>
          <w:szCs w:val="24"/>
        </w:rPr>
        <w:t>ȋ</w:t>
      </w:r>
      <w:r w:rsidRPr="00CA25A5">
        <w:rPr>
          <w:rFonts w:ascii="Bookman Old Style" w:hAnsi="Bookman Old Style" w:cs="Times New Roman"/>
          <w:i/>
          <w:iCs/>
          <w:noProof/>
          <w:szCs w:val="24"/>
        </w:rPr>
        <w:t>: Dirâsah Muqâranah</w:t>
      </w:r>
      <w:r w:rsidRPr="00CA25A5">
        <w:rPr>
          <w:rFonts w:ascii="Bookman Old Style" w:hAnsi="Bookman Old Style" w:cs="Times New Roman"/>
          <w:noProof/>
          <w:szCs w:val="24"/>
        </w:rPr>
        <w:t>. Dâr al-Fikr al-Mu’âshir.</w:t>
      </w:r>
    </w:p>
    <w:p w14:paraId="50CB6BC1" w14:textId="77777777" w:rsidR="00D21A89" w:rsidRPr="00CA25A5" w:rsidRDefault="00D21A89" w:rsidP="00D21A89">
      <w:pPr>
        <w:widowControl w:val="0"/>
        <w:autoSpaceDE w:val="0"/>
        <w:autoSpaceDN w:val="0"/>
        <w:adjustRightInd w:val="0"/>
        <w:spacing w:after="0" w:line="240" w:lineRule="auto"/>
        <w:ind w:left="480" w:hanging="480"/>
        <w:jc w:val="both"/>
        <w:rPr>
          <w:rFonts w:ascii="Bookman Old Style" w:hAnsi="Bookman Old Style" w:cs="Times New Roman"/>
          <w:noProof/>
          <w:szCs w:val="24"/>
        </w:rPr>
      </w:pPr>
    </w:p>
    <w:p w14:paraId="4502E696" w14:textId="1B54D05A" w:rsidR="00D21A89" w:rsidRDefault="00D21A89"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p>
    <w:p w14:paraId="1FC9C797" w14:textId="1AFABCDB" w:rsidR="00D21A89" w:rsidRDefault="00D21A89"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p>
    <w:p w14:paraId="202BDE99" w14:textId="4E076088" w:rsidR="00D21A89" w:rsidRDefault="00D21A89"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p>
    <w:p w14:paraId="0C0F3027" w14:textId="77777777" w:rsidR="00D21A89" w:rsidRDefault="00D21A89"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p>
    <w:p w14:paraId="32E4A1AD" w14:textId="77777777" w:rsidR="00DF09C1" w:rsidRDefault="00DF09C1"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p>
    <w:p w14:paraId="0BA3F6C3" w14:textId="77777777" w:rsidR="00D21A89" w:rsidRDefault="00D21A89" w:rsidP="00CA25A5">
      <w:pPr>
        <w:widowControl w:val="0"/>
        <w:autoSpaceDE w:val="0"/>
        <w:autoSpaceDN w:val="0"/>
        <w:adjustRightInd w:val="0"/>
        <w:spacing w:after="0" w:line="240" w:lineRule="auto"/>
        <w:ind w:left="480" w:hanging="480"/>
        <w:jc w:val="both"/>
        <w:rPr>
          <w:rFonts w:ascii="Bookman Old Style" w:hAnsi="Bookman Old Style" w:cs="Times New Roman"/>
          <w:b/>
          <w:bCs/>
          <w:noProof/>
          <w:szCs w:val="24"/>
        </w:rPr>
      </w:pPr>
    </w:p>
    <w:p w14:paraId="6DD54A2A" w14:textId="2E3E889A" w:rsidR="00D21A89" w:rsidRPr="00D21A89" w:rsidRDefault="00D21A89" w:rsidP="00CA25A5">
      <w:pPr>
        <w:widowControl w:val="0"/>
        <w:autoSpaceDE w:val="0"/>
        <w:autoSpaceDN w:val="0"/>
        <w:adjustRightInd w:val="0"/>
        <w:spacing w:after="0" w:line="240" w:lineRule="auto"/>
        <w:ind w:left="480" w:hanging="480"/>
        <w:jc w:val="both"/>
        <w:rPr>
          <w:rFonts w:ascii="Bookman Old Style" w:hAnsi="Bookman Old Style" w:cs="Times New Roman"/>
          <w:b/>
          <w:bCs/>
          <w:noProof/>
          <w:szCs w:val="24"/>
        </w:rPr>
      </w:pPr>
      <w:r w:rsidRPr="00D21A89">
        <w:rPr>
          <w:rFonts w:ascii="Bookman Old Style" w:hAnsi="Bookman Old Style" w:cs="Times New Roman"/>
          <w:b/>
          <w:bCs/>
          <w:noProof/>
          <w:szCs w:val="24"/>
        </w:rPr>
        <w:t>Jurnal</w:t>
      </w:r>
    </w:p>
    <w:p w14:paraId="218B1A9C" w14:textId="2C3E51CF" w:rsidR="00CA25A5" w:rsidRPr="00CA25A5" w:rsidRDefault="00CA25A5"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Asmuni. (2007). Teori Ganti Rugi (Dhaman) Perspektif Hukum Islam. </w:t>
      </w:r>
      <w:r w:rsidRPr="00CA25A5">
        <w:rPr>
          <w:rFonts w:ascii="Bookman Old Style" w:hAnsi="Bookman Old Style" w:cs="Times New Roman"/>
          <w:i/>
          <w:iCs/>
          <w:noProof/>
          <w:szCs w:val="24"/>
        </w:rPr>
        <w:t>Millah</w:t>
      </w:r>
      <w:r w:rsidRPr="00CA25A5">
        <w:rPr>
          <w:rFonts w:ascii="Bookman Old Style" w:hAnsi="Bookman Old Style" w:cs="Times New Roman"/>
          <w:noProof/>
          <w:szCs w:val="24"/>
        </w:rPr>
        <w:t xml:space="preserve">, </w:t>
      </w:r>
      <w:r w:rsidRPr="00CA25A5">
        <w:rPr>
          <w:rFonts w:ascii="Bookman Old Style" w:hAnsi="Bookman Old Style" w:cs="Times New Roman"/>
          <w:i/>
          <w:iCs/>
          <w:noProof/>
          <w:szCs w:val="24"/>
        </w:rPr>
        <w:t>VI</w:t>
      </w:r>
      <w:r w:rsidRPr="00CA25A5">
        <w:rPr>
          <w:rFonts w:ascii="Bookman Old Style" w:hAnsi="Bookman Old Style" w:cs="Times New Roman"/>
          <w:noProof/>
          <w:szCs w:val="24"/>
        </w:rPr>
        <w:t>(2).</w:t>
      </w:r>
    </w:p>
    <w:p w14:paraId="7088A0E5" w14:textId="77777777" w:rsidR="00CA25A5" w:rsidRPr="00CA25A5" w:rsidRDefault="00CA25A5"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Asnawi, M. N. (2018). Perlindungan Hukum Kontrak Dalam Perspektif Hukum Kontrak Kontemporer. </w:t>
      </w:r>
      <w:r w:rsidRPr="00CA25A5">
        <w:rPr>
          <w:rFonts w:ascii="Bookman Old Style" w:hAnsi="Bookman Old Style" w:cs="Times New Roman"/>
          <w:i/>
          <w:iCs/>
          <w:noProof/>
          <w:szCs w:val="24"/>
        </w:rPr>
        <w:t>Masalah-Masalah Hukum</w:t>
      </w:r>
      <w:r w:rsidRPr="00CA25A5">
        <w:rPr>
          <w:rFonts w:ascii="Bookman Old Style" w:hAnsi="Bookman Old Style" w:cs="Times New Roman"/>
          <w:noProof/>
          <w:szCs w:val="24"/>
        </w:rPr>
        <w:t xml:space="preserve">, </w:t>
      </w:r>
      <w:r w:rsidRPr="00CA25A5">
        <w:rPr>
          <w:rFonts w:ascii="Bookman Old Style" w:hAnsi="Bookman Old Style" w:cs="Times New Roman"/>
          <w:i/>
          <w:iCs/>
          <w:noProof/>
          <w:szCs w:val="24"/>
        </w:rPr>
        <w:t>46</w:t>
      </w:r>
      <w:r w:rsidRPr="00CA25A5">
        <w:rPr>
          <w:rFonts w:ascii="Bookman Old Style" w:hAnsi="Bookman Old Style" w:cs="Times New Roman"/>
          <w:noProof/>
          <w:szCs w:val="24"/>
        </w:rPr>
        <w:t>(1), 55. https://doi.org/10.14710/mmh.46.1.2017.55-68</w:t>
      </w:r>
    </w:p>
    <w:p w14:paraId="0215DE59" w14:textId="77777777" w:rsidR="00CA25A5" w:rsidRPr="00CA25A5" w:rsidRDefault="00CA25A5"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Firmanda, H. (2018). Hakikat Ganti Rugi Dalam Perspektif Hukum Ekonomi Syariah dan Hukum Perdata Indonesia. </w:t>
      </w:r>
      <w:r w:rsidRPr="00CA25A5">
        <w:rPr>
          <w:rFonts w:ascii="Bookman Old Style" w:hAnsi="Bookman Old Style" w:cs="Times New Roman"/>
          <w:i/>
          <w:iCs/>
          <w:noProof/>
          <w:szCs w:val="24"/>
        </w:rPr>
        <w:t>Jurnal Hukum Respublica</w:t>
      </w:r>
      <w:r w:rsidRPr="00CA25A5">
        <w:rPr>
          <w:rFonts w:ascii="Bookman Old Style" w:hAnsi="Bookman Old Style" w:cs="Times New Roman"/>
          <w:noProof/>
          <w:szCs w:val="24"/>
        </w:rPr>
        <w:t xml:space="preserve">, </w:t>
      </w:r>
      <w:r w:rsidRPr="00CA25A5">
        <w:rPr>
          <w:rFonts w:ascii="Bookman Old Style" w:hAnsi="Bookman Old Style" w:cs="Times New Roman"/>
          <w:i/>
          <w:iCs/>
          <w:noProof/>
          <w:szCs w:val="24"/>
        </w:rPr>
        <w:t>16</w:t>
      </w:r>
      <w:r w:rsidRPr="00CA25A5">
        <w:rPr>
          <w:rFonts w:ascii="Bookman Old Style" w:hAnsi="Bookman Old Style" w:cs="Times New Roman"/>
          <w:noProof/>
          <w:szCs w:val="24"/>
        </w:rPr>
        <w:t>(2), 236–251. https://doi.org/10.3</w:t>
      </w:r>
      <w:bookmarkStart w:id="2" w:name="_GoBack"/>
      <w:bookmarkEnd w:id="2"/>
      <w:r w:rsidRPr="00CA25A5">
        <w:rPr>
          <w:rFonts w:ascii="Bookman Old Style" w:hAnsi="Bookman Old Style" w:cs="Times New Roman"/>
          <w:noProof/>
          <w:szCs w:val="24"/>
        </w:rPr>
        <w:t>1849/respublica.v16i2.1438</w:t>
      </w:r>
    </w:p>
    <w:p w14:paraId="1A60E09A" w14:textId="456703F2" w:rsidR="00CA25A5" w:rsidRPr="00CA25A5" w:rsidRDefault="00CA25A5"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Hasanuddin, Fakhruddin Mansyur, M. M. (2020). </w:t>
      </w:r>
      <w:r w:rsidR="00B141D0" w:rsidRPr="00CA25A5">
        <w:rPr>
          <w:rFonts w:ascii="Bookman Old Style" w:hAnsi="Bookman Old Style" w:cs="Times New Roman"/>
          <w:noProof/>
          <w:szCs w:val="24"/>
        </w:rPr>
        <w:t xml:space="preserve">Fatwa Dsn Mui Klausal Denda Dan Ganti Rugi Pada Skim Kpr Syariah. </w:t>
      </w:r>
      <w:r w:rsidR="00B141D0" w:rsidRPr="00CA25A5">
        <w:rPr>
          <w:rFonts w:ascii="Bookman Old Style" w:hAnsi="Bookman Old Style" w:cs="Times New Roman"/>
          <w:i/>
          <w:iCs/>
          <w:noProof/>
          <w:szCs w:val="24"/>
        </w:rPr>
        <w:t>Fatwa Dsn Mui Klausal Denda Dan Ganti Rugi Pada Skim Kpr Syariah</w:t>
      </w:r>
      <w:r w:rsidRPr="00CA25A5">
        <w:rPr>
          <w:rFonts w:ascii="Bookman Old Style" w:hAnsi="Bookman Old Style" w:cs="Times New Roman"/>
          <w:noProof/>
          <w:szCs w:val="24"/>
        </w:rPr>
        <w:t xml:space="preserve">, </w:t>
      </w:r>
      <w:r w:rsidRPr="00CA25A5">
        <w:rPr>
          <w:rFonts w:ascii="Bookman Old Style" w:hAnsi="Bookman Old Style" w:cs="Times New Roman"/>
          <w:i/>
          <w:iCs/>
          <w:noProof/>
          <w:szCs w:val="24"/>
        </w:rPr>
        <w:t>7</w:t>
      </w:r>
      <w:r w:rsidRPr="00CA25A5">
        <w:rPr>
          <w:rFonts w:ascii="Bookman Old Style" w:hAnsi="Bookman Old Style" w:cs="Times New Roman"/>
          <w:noProof/>
          <w:szCs w:val="24"/>
        </w:rPr>
        <w:t>(2).</w:t>
      </w:r>
    </w:p>
    <w:p w14:paraId="1A8A3B13" w14:textId="77777777" w:rsidR="00CA25A5" w:rsidRPr="00CA25A5" w:rsidRDefault="00CA25A5"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Salam, S. (2018). Perkembangan doktrin perbuatan melawan hukum penguasa. </w:t>
      </w:r>
      <w:r w:rsidRPr="00CA25A5">
        <w:rPr>
          <w:rFonts w:ascii="Bookman Old Style" w:hAnsi="Bookman Old Style" w:cs="Times New Roman"/>
          <w:i/>
          <w:iCs/>
          <w:noProof/>
          <w:szCs w:val="24"/>
        </w:rPr>
        <w:t>Nurani Hukum</w:t>
      </w:r>
      <w:r w:rsidRPr="00CA25A5">
        <w:rPr>
          <w:rFonts w:ascii="Bookman Old Style" w:hAnsi="Bookman Old Style" w:cs="Times New Roman"/>
          <w:noProof/>
          <w:szCs w:val="24"/>
        </w:rPr>
        <w:t xml:space="preserve">, </w:t>
      </w:r>
      <w:r w:rsidRPr="00CA25A5">
        <w:rPr>
          <w:rFonts w:ascii="Bookman Old Style" w:hAnsi="Bookman Old Style" w:cs="Times New Roman"/>
          <w:i/>
          <w:iCs/>
          <w:noProof/>
          <w:szCs w:val="24"/>
        </w:rPr>
        <w:t>1</w:t>
      </w:r>
      <w:r w:rsidRPr="00CA25A5">
        <w:rPr>
          <w:rFonts w:ascii="Bookman Old Style" w:hAnsi="Bookman Old Style" w:cs="Times New Roman"/>
          <w:noProof/>
          <w:szCs w:val="24"/>
        </w:rPr>
        <w:t>(1), 33–44. https://doi.org/10.51825/nhk.v1i1.4818</w:t>
      </w:r>
    </w:p>
    <w:p w14:paraId="44090126" w14:textId="77777777" w:rsidR="00CA25A5" w:rsidRPr="00CA25A5" w:rsidRDefault="00CA25A5"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Sedyo Prayogo. (2016). Penerapan Batas-Batas Wanprestasi dan Perbuatan Melawan Hukum dalam Perjanjian. </w:t>
      </w:r>
      <w:r w:rsidRPr="00CA25A5">
        <w:rPr>
          <w:rFonts w:ascii="Bookman Old Style" w:hAnsi="Bookman Old Style" w:cs="Times New Roman"/>
          <w:i/>
          <w:iCs/>
          <w:noProof/>
          <w:szCs w:val="24"/>
        </w:rPr>
        <w:t>Jurnal Pembaharuan Hukum</w:t>
      </w:r>
      <w:r w:rsidRPr="00CA25A5">
        <w:rPr>
          <w:rFonts w:ascii="Bookman Old Style" w:hAnsi="Bookman Old Style" w:cs="Times New Roman"/>
          <w:noProof/>
          <w:szCs w:val="24"/>
        </w:rPr>
        <w:t xml:space="preserve">, </w:t>
      </w:r>
      <w:r w:rsidRPr="00CA25A5">
        <w:rPr>
          <w:rFonts w:ascii="Bookman Old Style" w:hAnsi="Bookman Old Style" w:cs="Times New Roman"/>
          <w:i/>
          <w:iCs/>
          <w:noProof/>
          <w:szCs w:val="24"/>
        </w:rPr>
        <w:t>III</w:t>
      </w:r>
      <w:r w:rsidRPr="00CA25A5">
        <w:rPr>
          <w:rFonts w:ascii="Bookman Old Style" w:hAnsi="Bookman Old Style" w:cs="Times New Roman"/>
          <w:noProof/>
          <w:szCs w:val="24"/>
        </w:rPr>
        <w:t>(2), 281.</w:t>
      </w:r>
    </w:p>
    <w:p w14:paraId="287DDFF4" w14:textId="77777777" w:rsidR="00CA25A5" w:rsidRPr="00CA25A5" w:rsidRDefault="00CA25A5" w:rsidP="00CA25A5">
      <w:pPr>
        <w:widowControl w:val="0"/>
        <w:autoSpaceDE w:val="0"/>
        <w:autoSpaceDN w:val="0"/>
        <w:adjustRightInd w:val="0"/>
        <w:spacing w:after="0" w:line="240" w:lineRule="auto"/>
        <w:ind w:left="480" w:hanging="480"/>
        <w:jc w:val="both"/>
        <w:rPr>
          <w:rFonts w:ascii="Bookman Old Style" w:hAnsi="Bookman Old Style" w:cs="Times New Roman"/>
          <w:noProof/>
          <w:szCs w:val="24"/>
        </w:rPr>
      </w:pPr>
      <w:r w:rsidRPr="00CA25A5">
        <w:rPr>
          <w:rFonts w:ascii="Bookman Old Style" w:hAnsi="Bookman Old Style" w:cs="Times New Roman"/>
          <w:noProof/>
          <w:szCs w:val="24"/>
        </w:rPr>
        <w:t xml:space="preserve">Slamet, S. R. (2013). Tuntutan Ganti Rugi dalam Perbuatan Melawan Hukum: Suatu Perbandingan dengan Wanprestasi. </w:t>
      </w:r>
      <w:r w:rsidRPr="00CA25A5">
        <w:rPr>
          <w:rFonts w:ascii="Bookman Old Style" w:hAnsi="Bookman Old Style" w:cs="Times New Roman"/>
          <w:i/>
          <w:iCs/>
          <w:noProof/>
          <w:szCs w:val="24"/>
        </w:rPr>
        <w:t>Lex Jurnalica (Journal of Law)</w:t>
      </w:r>
      <w:r w:rsidRPr="00CA25A5">
        <w:rPr>
          <w:rFonts w:ascii="Bookman Old Style" w:hAnsi="Bookman Old Style" w:cs="Times New Roman"/>
          <w:noProof/>
          <w:szCs w:val="24"/>
        </w:rPr>
        <w:t xml:space="preserve">, </w:t>
      </w:r>
      <w:r w:rsidRPr="00CA25A5">
        <w:rPr>
          <w:rFonts w:ascii="Bookman Old Style" w:hAnsi="Bookman Old Style" w:cs="Times New Roman"/>
          <w:i/>
          <w:iCs/>
          <w:noProof/>
          <w:szCs w:val="24"/>
        </w:rPr>
        <w:t>10</w:t>
      </w:r>
      <w:r w:rsidRPr="00CA25A5">
        <w:rPr>
          <w:rFonts w:ascii="Bookman Old Style" w:hAnsi="Bookman Old Style" w:cs="Times New Roman"/>
          <w:noProof/>
          <w:szCs w:val="24"/>
        </w:rPr>
        <w:t>(2), 107–120. https://media.neliti.com/media/publications/18068-ID-tuntutan-ganti-rugi-dalam-perbuatan-melawan-hukum-suatu-perbandingan-dengan-wanp.pdf</w:t>
      </w:r>
    </w:p>
    <w:p w14:paraId="32594437" w14:textId="77777777" w:rsidR="00CA25A5" w:rsidRPr="00CA25A5" w:rsidRDefault="00CA25A5" w:rsidP="00CA25A5">
      <w:pPr>
        <w:widowControl w:val="0"/>
        <w:autoSpaceDE w:val="0"/>
        <w:autoSpaceDN w:val="0"/>
        <w:adjustRightInd w:val="0"/>
        <w:spacing w:after="0" w:line="240" w:lineRule="auto"/>
        <w:ind w:left="480" w:hanging="480"/>
        <w:jc w:val="both"/>
        <w:rPr>
          <w:rFonts w:ascii="Bookman Old Style" w:hAnsi="Bookman Old Style"/>
          <w:noProof/>
        </w:rPr>
      </w:pPr>
      <w:r w:rsidRPr="00CA25A5">
        <w:rPr>
          <w:rFonts w:ascii="Bookman Old Style" w:hAnsi="Bookman Old Style" w:cs="Times New Roman"/>
          <w:noProof/>
          <w:szCs w:val="24"/>
        </w:rPr>
        <w:t xml:space="preserve">Wahyudi, F. (2017). Mengontrol Moral Hazard Nasabah Melalui Instrumen Ta’Zir Dan Ta’Widh. </w:t>
      </w:r>
      <w:r w:rsidRPr="00CA25A5">
        <w:rPr>
          <w:rFonts w:ascii="Bookman Old Style" w:hAnsi="Bookman Old Style" w:cs="Times New Roman"/>
          <w:i/>
          <w:iCs/>
          <w:noProof/>
          <w:szCs w:val="24"/>
        </w:rPr>
        <w:t>Al-Banjari</w:t>
      </w:r>
      <w:r w:rsidRPr="00CA25A5">
        <w:rPr>
          <w:rFonts w:ascii="Times New Roman" w:hAnsi="Times New Roman" w:cs="Times New Roman"/>
          <w:i/>
          <w:iCs/>
          <w:noProof/>
          <w:szCs w:val="24"/>
        </w:rPr>
        <w:t> </w:t>
      </w:r>
      <w:r w:rsidRPr="00CA25A5">
        <w:rPr>
          <w:rFonts w:ascii="Bookman Old Style" w:hAnsi="Bookman Old Style" w:cs="Times New Roman"/>
          <w:i/>
          <w:iCs/>
          <w:noProof/>
          <w:szCs w:val="24"/>
        </w:rPr>
        <w:t>: Jurnal Ilmiah Ilmu-Ilmu Keislaman</w:t>
      </w:r>
      <w:r w:rsidRPr="00CA25A5">
        <w:rPr>
          <w:rFonts w:ascii="Bookman Old Style" w:hAnsi="Bookman Old Style" w:cs="Times New Roman"/>
          <w:noProof/>
          <w:szCs w:val="24"/>
        </w:rPr>
        <w:t xml:space="preserve">, </w:t>
      </w:r>
      <w:r w:rsidRPr="00CA25A5">
        <w:rPr>
          <w:rFonts w:ascii="Bookman Old Style" w:hAnsi="Bookman Old Style" w:cs="Times New Roman"/>
          <w:i/>
          <w:iCs/>
          <w:noProof/>
          <w:szCs w:val="24"/>
        </w:rPr>
        <w:t>16</w:t>
      </w:r>
      <w:r w:rsidRPr="00CA25A5">
        <w:rPr>
          <w:rFonts w:ascii="Bookman Old Style" w:hAnsi="Bookman Old Style" w:cs="Times New Roman"/>
          <w:noProof/>
          <w:szCs w:val="24"/>
        </w:rPr>
        <w:t>(2), 25. https://doi.org/10.18592/al-banjari.v16i2.1357</w:t>
      </w:r>
    </w:p>
    <w:p w14:paraId="1696D16D" w14:textId="2C8EEDD9" w:rsidR="000542D1" w:rsidRDefault="00CA25A5" w:rsidP="00CA25A5">
      <w:pPr>
        <w:spacing w:after="0" w:line="240" w:lineRule="auto"/>
        <w:jc w:val="both"/>
        <w:rPr>
          <w:rFonts w:ascii="Bookman Old Style" w:hAnsi="Bookman Old Style"/>
          <w:b/>
          <w:bCs/>
        </w:rPr>
      </w:pPr>
      <w:r>
        <w:rPr>
          <w:rFonts w:ascii="Bookman Old Style" w:hAnsi="Bookman Old Style"/>
        </w:rPr>
        <w:fldChar w:fldCharType="end"/>
      </w:r>
      <w:r w:rsidR="001C2977">
        <w:rPr>
          <w:rFonts w:ascii="Bookman Old Style" w:hAnsi="Bookman Old Style"/>
          <w:b/>
          <w:bCs/>
        </w:rPr>
        <w:t>Peraturan Perundang-Undangan</w:t>
      </w:r>
    </w:p>
    <w:p w14:paraId="02476970" w14:textId="31159361" w:rsidR="001C2977" w:rsidRDefault="001C2977" w:rsidP="00CA25A5">
      <w:pPr>
        <w:spacing w:after="0" w:line="240" w:lineRule="auto"/>
        <w:jc w:val="both"/>
        <w:rPr>
          <w:rFonts w:ascii="Bookman Old Style" w:hAnsi="Bookman Old Style"/>
        </w:rPr>
      </w:pPr>
      <w:r>
        <w:rPr>
          <w:rFonts w:ascii="Bookman Old Style" w:hAnsi="Bookman Old Style"/>
        </w:rPr>
        <w:t>Kitab Undang-Undang Hukum Perdata</w:t>
      </w:r>
    </w:p>
    <w:p w14:paraId="23C3AB5C" w14:textId="0ED0B494" w:rsidR="001C2977" w:rsidRDefault="001C2977" w:rsidP="00CA25A5">
      <w:pPr>
        <w:spacing w:after="0" w:line="240" w:lineRule="auto"/>
        <w:jc w:val="both"/>
        <w:rPr>
          <w:rFonts w:ascii="Bookman Old Style" w:hAnsi="Bookman Old Style"/>
        </w:rPr>
      </w:pPr>
      <w:r>
        <w:rPr>
          <w:rFonts w:ascii="Bookman Old Style" w:hAnsi="Bookman Old Style"/>
        </w:rPr>
        <w:t>Undang-Undang Nomor 3 Tahun 2006 tentang Peradilan Agama</w:t>
      </w:r>
    </w:p>
    <w:p w14:paraId="77AC5DD1" w14:textId="2505B976" w:rsidR="001C2977" w:rsidRDefault="001C2977" w:rsidP="00CA25A5">
      <w:pPr>
        <w:spacing w:after="0" w:line="240" w:lineRule="auto"/>
        <w:jc w:val="both"/>
        <w:rPr>
          <w:rFonts w:ascii="Bookman Old Style" w:hAnsi="Bookman Old Style"/>
        </w:rPr>
      </w:pPr>
      <w:r>
        <w:rPr>
          <w:rFonts w:ascii="Bookman Old Style" w:hAnsi="Bookman Old Style"/>
        </w:rPr>
        <w:t>Undang-Undang Nomor 21 Tahun 2008 tentang Perbankan Syariah</w:t>
      </w:r>
    </w:p>
    <w:p w14:paraId="67A89D69" w14:textId="25FD9DDB" w:rsidR="001C2977" w:rsidRPr="001C2977" w:rsidRDefault="001C2977" w:rsidP="001C2977">
      <w:pPr>
        <w:spacing w:after="0" w:line="240" w:lineRule="auto"/>
        <w:ind w:left="567" w:hanging="567"/>
        <w:jc w:val="both"/>
        <w:rPr>
          <w:rFonts w:ascii="Bookman Old Style" w:hAnsi="Bookman Old Style"/>
        </w:rPr>
      </w:pPr>
      <w:r>
        <w:rPr>
          <w:rFonts w:ascii="Bookman Old Style" w:hAnsi="Bookman Old Style"/>
        </w:rPr>
        <w:t>Peraturan Mahkamah Agung Nomor 2 Tahun 2008 tentang Kompilasi Hukum Ekonomi Syariah</w:t>
      </w:r>
    </w:p>
    <w:sectPr w:rsidR="001C2977" w:rsidRPr="001C297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5776D" w14:textId="77777777" w:rsidR="00922A51" w:rsidRDefault="00922A51" w:rsidP="007176B2">
      <w:pPr>
        <w:spacing w:after="0" w:line="240" w:lineRule="auto"/>
      </w:pPr>
      <w:r>
        <w:separator/>
      </w:r>
    </w:p>
  </w:endnote>
  <w:endnote w:type="continuationSeparator" w:id="0">
    <w:p w14:paraId="691AAE85" w14:textId="77777777" w:rsidR="00922A51" w:rsidRDefault="00922A51" w:rsidP="0071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10000000000000000"/>
    <w:charset w:val="00"/>
    <w:family w:val="auto"/>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D89E8" w14:textId="77777777" w:rsidR="00922A51" w:rsidRDefault="00922A51" w:rsidP="007176B2">
      <w:pPr>
        <w:spacing w:after="0" w:line="240" w:lineRule="auto"/>
      </w:pPr>
      <w:r>
        <w:separator/>
      </w:r>
    </w:p>
  </w:footnote>
  <w:footnote w:type="continuationSeparator" w:id="0">
    <w:p w14:paraId="479D9FA7" w14:textId="77777777" w:rsidR="00922A51" w:rsidRDefault="00922A51" w:rsidP="007176B2">
      <w:pPr>
        <w:spacing w:after="0" w:line="240" w:lineRule="auto"/>
      </w:pPr>
      <w:r>
        <w:continuationSeparator/>
      </w:r>
    </w:p>
  </w:footnote>
  <w:footnote w:id="1">
    <w:p w14:paraId="373A98E9" w14:textId="77777777" w:rsidR="00DF09C1" w:rsidRPr="008F5CE4" w:rsidRDefault="00DF09C1" w:rsidP="007176B2">
      <w:pPr>
        <w:pStyle w:val="FootnoteText"/>
        <w:ind w:firstLine="720"/>
        <w:jc w:val="both"/>
        <w:rPr>
          <w:rFonts w:asciiTheme="majorBidi" w:hAnsiTheme="majorBidi" w:cstheme="majorBidi"/>
        </w:rPr>
      </w:pPr>
      <w:r w:rsidRPr="00744F42">
        <w:rPr>
          <w:rStyle w:val="FootnoteReference"/>
        </w:rPr>
        <w:footnoteRef/>
      </w:r>
      <w:r>
        <w:t xml:space="preserve"> </w:t>
      </w:r>
      <w:r>
        <w:rPr>
          <w:rFonts w:asciiTheme="majorBidi" w:hAnsiTheme="majorBidi" w:cstheme="majorBidi"/>
        </w:rPr>
        <w:t xml:space="preserve">Pasal 450 ayat (2) dan (3) KHES menyatakan bahwa perusakan dapat terjadi dengan perbuatan langsung dan tidak langsung, serta dilakukan secara sengaja dan tidak sengaja. Perusakan yang dilakukan secara sengaja wajib membayar ganti rugi, dan perusakan tidak langsung yang terjadi karena kelalaiannya, wajib membayar ganti rugi. </w:t>
      </w:r>
    </w:p>
  </w:footnote>
  <w:footnote w:id="2">
    <w:p w14:paraId="1C349CBA" w14:textId="77777777" w:rsidR="00DF09C1" w:rsidRPr="00646DC0" w:rsidRDefault="00DF09C1" w:rsidP="007176B2">
      <w:pPr>
        <w:pStyle w:val="FootnoteText"/>
        <w:ind w:firstLine="720"/>
        <w:jc w:val="both"/>
        <w:rPr>
          <w:rFonts w:asciiTheme="majorBidi" w:hAnsiTheme="majorBidi" w:cstheme="majorBidi"/>
        </w:rPr>
      </w:pPr>
      <w:r w:rsidRPr="00744F42">
        <w:rPr>
          <w:rStyle w:val="FootnoteReference"/>
        </w:rPr>
        <w:footnoteRef/>
      </w:r>
      <w:r>
        <w:t xml:space="preserve"> </w:t>
      </w:r>
      <w:r>
        <w:rPr>
          <w:rFonts w:asciiTheme="majorBidi" w:hAnsiTheme="majorBidi" w:cstheme="majorBidi"/>
        </w:rPr>
        <w:t>Pasal 303 Komoilasi Hukum Ekonomi Syariah (KHES): “</w:t>
      </w:r>
      <w:r>
        <w:rPr>
          <w:rFonts w:asciiTheme="majorBidi" w:hAnsiTheme="majorBidi" w:cstheme="majorBidi"/>
          <w:i/>
          <w:iCs/>
        </w:rPr>
        <w:t xml:space="preserve">Mu’ajir </w:t>
      </w:r>
      <w:r>
        <w:rPr>
          <w:rFonts w:asciiTheme="majorBidi" w:hAnsiTheme="majorBidi" w:cstheme="majorBidi"/>
        </w:rPr>
        <w:t xml:space="preserve">haruslah pemilik, wakilnya atau pengampunya. </w:t>
      </w:r>
    </w:p>
  </w:footnote>
  <w:footnote w:id="3">
    <w:p w14:paraId="296D3E4C" w14:textId="77777777" w:rsidR="00DF09C1" w:rsidRPr="00D80121" w:rsidRDefault="00DF09C1" w:rsidP="007176B2">
      <w:pPr>
        <w:pStyle w:val="FootnoteText"/>
        <w:ind w:firstLine="720"/>
        <w:jc w:val="both"/>
        <w:rPr>
          <w:rFonts w:asciiTheme="majorBidi" w:hAnsiTheme="majorBidi" w:cstheme="majorBidi"/>
        </w:rPr>
      </w:pPr>
      <w:r w:rsidRPr="00744F42">
        <w:rPr>
          <w:rStyle w:val="FootnoteReference"/>
        </w:rPr>
        <w:footnoteRef/>
      </w:r>
      <w:r>
        <w:t xml:space="preserve"> </w:t>
      </w:r>
      <w:r>
        <w:rPr>
          <w:rFonts w:asciiTheme="majorBidi" w:hAnsiTheme="majorBidi" w:cstheme="majorBidi"/>
        </w:rPr>
        <w:t xml:space="preserve">Pasal 405 Kompilasi Hukum Ekonomi Syariah (KHES): “Apabila penerima gadai tidak menyimpan atau memelihara harta gadai sesuai dengan akad, maka pemberi gadai dapat menuntut ganti rugi” Pasal 406 KHES: “Apabila harta gadai rusak karena kelalaiannya, penerima gadai harus mengganti harta gadai.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4330"/>
    <w:multiLevelType w:val="hybridMultilevel"/>
    <w:tmpl w:val="805232D2"/>
    <w:lvl w:ilvl="0" w:tplc="38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7E66B29"/>
    <w:multiLevelType w:val="hybridMultilevel"/>
    <w:tmpl w:val="AE769148"/>
    <w:lvl w:ilvl="0" w:tplc="38090017">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D4E48BB"/>
    <w:multiLevelType w:val="hybridMultilevel"/>
    <w:tmpl w:val="7C8C9318"/>
    <w:lvl w:ilvl="0" w:tplc="3809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3B8C1FB2"/>
    <w:multiLevelType w:val="hybridMultilevel"/>
    <w:tmpl w:val="9740F804"/>
    <w:lvl w:ilvl="0" w:tplc="3809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4A4C7CA8"/>
    <w:multiLevelType w:val="hybridMultilevel"/>
    <w:tmpl w:val="D26AC59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B1D566A"/>
    <w:multiLevelType w:val="hybridMultilevel"/>
    <w:tmpl w:val="DE3669B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7E571A72"/>
    <w:multiLevelType w:val="hybridMultilevel"/>
    <w:tmpl w:val="91725814"/>
    <w:lvl w:ilvl="0" w:tplc="38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B2"/>
    <w:rsid w:val="00023C0F"/>
    <w:rsid w:val="00046175"/>
    <w:rsid w:val="00050701"/>
    <w:rsid w:val="000542D1"/>
    <w:rsid w:val="00066856"/>
    <w:rsid w:val="00070ED2"/>
    <w:rsid w:val="000B2511"/>
    <w:rsid w:val="000C0368"/>
    <w:rsid w:val="000D0462"/>
    <w:rsid w:val="001037FB"/>
    <w:rsid w:val="001415AB"/>
    <w:rsid w:val="00144139"/>
    <w:rsid w:val="001443CA"/>
    <w:rsid w:val="00147195"/>
    <w:rsid w:val="00153A2C"/>
    <w:rsid w:val="00154B43"/>
    <w:rsid w:val="00164EAA"/>
    <w:rsid w:val="00174FF0"/>
    <w:rsid w:val="00177FAE"/>
    <w:rsid w:val="00191622"/>
    <w:rsid w:val="001A7E47"/>
    <w:rsid w:val="001C2977"/>
    <w:rsid w:val="001C4836"/>
    <w:rsid w:val="002000F6"/>
    <w:rsid w:val="00206766"/>
    <w:rsid w:val="00207DB8"/>
    <w:rsid w:val="00234AD8"/>
    <w:rsid w:val="002352F8"/>
    <w:rsid w:val="0023596A"/>
    <w:rsid w:val="00243C7A"/>
    <w:rsid w:val="0025196F"/>
    <w:rsid w:val="00295549"/>
    <w:rsid w:val="002C0CA3"/>
    <w:rsid w:val="002C66F2"/>
    <w:rsid w:val="002F1847"/>
    <w:rsid w:val="002F407F"/>
    <w:rsid w:val="0030231A"/>
    <w:rsid w:val="003047CC"/>
    <w:rsid w:val="003338D6"/>
    <w:rsid w:val="003A46E6"/>
    <w:rsid w:val="003B6364"/>
    <w:rsid w:val="003C7489"/>
    <w:rsid w:val="003F0582"/>
    <w:rsid w:val="003F77D2"/>
    <w:rsid w:val="00402AC7"/>
    <w:rsid w:val="00403C83"/>
    <w:rsid w:val="004075C0"/>
    <w:rsid w:val="00412FF8"/>
    <w:rsid w:val="00426B3F"/>
    <w:rsid w:val="00432740"/>
    <w:rsid w:val="004360EF"/>
    <w:rsid w:val="0044142D"/>
    <w:rsid w:val="004471FE"/>
    <w:rsid w:val="00472E6B"/>
    <w:rsid w:val="004751A5"/>
    <w:rsid w:val="004771AF"/>
    <w:rsid w:val="00477425"/>
    <w:rsid w:val="00483162"/>
    <w:rsid w:val="00484AB2"/>
    <w:rsid w:val="004A6E27"/>
    <w:rsid w:val="004B1669"/>
    <w:rsid w:val="004B7050"/>
    <w:rsid w:val="004C2BFD"/>
    <w:rsid w:val="004C58BB"/>
    <w:rsid w:val="004C6DF6"/>
    <w:rsid w:val="004D14E6"/>
    <w:rsid w:val="004E23ED"/>
    <w:rsid w:val="004E3E9C"/>
    <w:rsid w:val="004E474B"/>
    <w:rsid w:val="004E7A4A"/>
    <w:rsid w:val="00500997"/>
    <w:rsid w:val="005148C4"/>
    <w:rsid w:val="005234DE"/>
    <w:rsid w:val="00523BD4"/>
    <w:rsid w:val="00533618"/>
    <w:rsid w:val="00534AD1"/>
    <w:rsid w:val="00537253"/>
    <w:rsid w:val="00552984"/>
    <w:rsid w:val="0057499F"/>
    <w:rsid w:val="005B05CD"/>
    <w:rsid w:val="005C4BC1"/>
    <w:rsid w:val="005D0BDD"/>
    <w:rsid w:val="005E146C"/>
    <w:rsid w:val="006109D6"/>
    <w:rsid w:val="00650F04"/>
    <w:rsid w:val="00661825"/>
    <w:rsid w:val="00663A72"/>
    <w:rsid w:val="00680073"/>
    <w:rsid w:val="00684DE9"/>
    <w:rsid w:val="00693E26"/>
    <w:rsid w:val="006C39E0"/>
    <w:rsid w:val="006D4DA4"/>
    <w:rsid w:val="006D7A64"/>
    <w:rsid w:val="006E4A74"/>
    <w:rsid w:val="00702298"/>
    <w:rsid w:val="00710070"/>
    <w:rsid w:val="007176B2"/>
    <w:rsid w:val="00735D39"/>
    <w:rsid w:val="00743940"/>
    <w:rsid w:val="00744F42"/>
    <w:rsid w:val="00766094"/>
    <w:rsid w:val="007719D1"/>
    <w:rsid w:val="00776271"/>
    <w:rsid w:val="007A4E70"/>
    <w:rsid w:val="007A6944"/>
    <w:rsid w:val="007B3038"/>
    <w:rsid w:val="007C22B7"/>
    <w:rsid w:val="007D1874"/>
    <w:rsid w:val="007E106F"/>
    <w:rsid w:val="007E6B63"/>
    <w:rsid w:val="007E7C33"/>
    <w:rsid w:val="007F3046"/>
    <w:rsid w:val="007F668F"/>
    <w:rsid w:val="008060EB"/>
    <w:rsid w:val="00806CF7"/>
    <w:rsid w:val="008100A2"/>
    <w:rsid w:val="008117BF"/>
    <w:rsid w:val="008179FD"/>
    <w:rsid w:val="00822280"/>
    <w:rsid w:val="008235CD"/>
    <w:rsid w:val="00874001"/>
    <w:rsid w:val="008A27D4"/>
    <w:rsid w:val="008B4C13"/>
    <w:rsid w:val="008E4977"/>
    <w:rsid w:val="008F4CE1"/>
    <w:rsid w:val="00913241"/>
    <w:rsid w:val="00915178"/>
    <w:rsid w:val="00922A51"/>
    <w:rsid w:val="00927009"/>
    <w:rsid w:val="00931738"/>
    <w:rsid w:val="00934825"/>
    <w:rsid w:val="00934929"/>
    <w:rsid w:val="009764D9"/>
    <w:rsid w:val="009A23E4"/>
    <w:rsid w:val="009A4724"/>
    <w:rsid w:val="009A4B05"/>
    <w:rsid w:val="009A741F"/>
    <w:rsid w:val="009B109C"/>
    <w:rsid w:val="009B7685"/>
    <w:rsid w:val="009B7912"/>
    <w:rsid w:val="009B7C50"/>
    <w:rsid w:val="009D1E9E"/>
    <w:rsid w:val="009E6364"/>
    <w:rsid w:val="009F37C1"/>
    <w:rsid w:val="00A079A4"/>
    <w:rsid w:val="00A223B3"/>
    <w:rsid w:val="00A3264E"/>
    <w:rsid w:val="00A62EB5"/>
    <w:rsid w:val="00A63AE4"/>
    <w:rsid w:val="00A6511F"/>
    <w:rsid w:val="00A834C2"/>
    <w:rsid w:val="00A869B8"/>
    <w:rsid w:val="00A97D5B"/>
    <w:rsid w:val="00AA4AE0"/>
    <w:rsid w:val="00AA4E95"/>
    <w:rsid w:val="00AE225C"/>
    <w:rsid w:val="00B018CC"/>
    <w:rsid w:val="00B141D0"/>
    <w:rsid w:val="00B5573E"/>
    <w:rsid w:val="00B571CB"/>
    <w:rsid w:val="00B61880"/>
    <w:rsid w:val="00B61AAD"/>
    <w:rsid w:val="00B670C5"/>
    <w:rsid w:val="00B9161F"/>
    <w:rsid w:val="00B95F8E"/>
    <w:rsid w:val="00BA394D"/>
    <w:rsid w:val="00BB5C84"/>
    <w:rsid w:val="00BB7AD3"/>
    <w:rsid w:val="00BD51CC"/>
    <w:rsid w:val="00BE3D2B"/>
    <w:rsid w:val="00C0072A"/>
    <w:rsid w:val="00C04922"/>
    <w:rsid w:val="00C252C5"/>
    <w:rsid w:val="00C36AEF"/>
    <w:rsid w:val="00C42B8E"/>
    <w:rsid w:val="00C61E58"/>
    <w:rsid w:val="00C743A4"/>
    <w:rsid w:val="00C8578A"/>
    <w:rsid w:val="00C87F52"/>
    <w:rsid w:val="00CA25A5"/>
    <w:rsid w:val="00CB538A"/>
    <w:rsid w:val="00CB6352"/>
    <w:rsid w:val="00CC0947"/>
    <w:rsid w:val="00CC115E"/>
    <w:rsid w:val="00CD1EF1"/>
    <w:rsid w:val="00CE696F"/>
    <w:rsid w:val="00D10918"/>
    <w:rsid w:val="00D1367D"/>
    <w:rsid w:val="00D21A89"/>
    <w:rsid w:val="00D3065E"/>
    <w:rsid w:val="00D42CF7"/>
    <w:rsid w:val="00D63D70"/>
    <w:rsid w:val="00D67AD5"/>
    <w:rsid w:val="00D9546F"/>
    <w:rsid w:val="00DB1CEE"/>
    <w:rsid w:val="00DD614E"/>
    <w:rsid w:val="00DF09C1"/>
    <w:rsid w:val="00DF3929"/>
    <w:rsid w:val="00E14713"/>
    <w:rsid w:val="00E34F41"/>
    <w:rsid w:val="00E41ABC"/>
    <w:rsid w:val="00E4447B"/>
    <w:rsid w:val="00E55EDA"/>
    <w:rsid w:val="00E607B9"/>
    <w:rsid w:val="00E60EB8"/>
    <w:rsid w:val="00E72E11"/>
    <w:rsid w:val="00E775E4"/>
    <w:rsid w:val="00EA3C11"/>
    <w:rsid w:val="00EC10C0"/>
    <w:rsid w:val="00EE0F6D"/>
    <w:rsid w:val="00EF0187"/>
    <w:rsid w:val="00EF620A"/>
    <w:rsid w:val="00EF7173"/>
    <w:rsid w:val="00F06BFF"/>
    <w:rsid w:val="00F17165"/>
    <w:rsid w:val="00F44F4E"/>
    <w:rsid w:val="00F7050E"/>
    <w:rsid w:val="00F74143"/>
    <w:rsid w:val="00F75D3E"/>
    <w:rsid w:val="00FA541C"/>
    <w:rsid w:val="00FC2BF5"/>
    <w:rsid w:val="00FD6550"/>
    <w:rsid w:val="00FD73FB"/>
    <w:rsid w:val="00FE3595"/>
    <w:rsid w:val="00FF3424"/>
    <w:rsid w:val="00FF7E3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BD95E"/>
  <w15:chartTrackingRefBased/>
  <w15:docId w15:val="{64C099EC-162E-42D2-9B1E-7A4B5201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6B2"/>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6B2"/>
    <w:pPr>
      <w:ind w:left="720"/>
      <w:contextualSpacing/>
    </w:pPr>
  </w:style>
  <w:style w:type="paragraph" w:styleId="FootnoteText">
    <w:name w:val="footnote text"/>
    <w:basedOn w:val="Normal"/>
    <w:link w:val="FootnoteTextChar"/>
    <w:uiPriority w:val="99"/>
    <w:unhideWhenUsed/>
    <w:rsid w:val="007176B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7176B2"/>
    <w:rPr>
      <w:sz w:val="20"/>
      <w:szCs w:val="20"/>
      <w:lang w:val="id-ID"/>
    </w:rPr>
  </w:style>
  <w:style w:type="character" w:styleId="FootnoteReference">
    <w:name w:val="footnote reference"/>
    <w:basedOn w:val="DefaultParagraphFont"/>
    <w:uiPriority w:val="99"/>
    <w:semiHidden/>
    <w:unhideWhenUsed/>
    <w:rsid w:val="007176B2"/>
    <w:rPr>
      <w:vertAlign w:val="superscript"/>
    </w:rPr>
  </w:style>
  <w:style w:type="paragraph" w:styleId="HTMLPreformatted">
    <w:name w:val="HTML Preformatted"/>
    <w:basedOn w:val="Normal"/>
    <w:link w:val="HTMLPreformattedChar"/>
    <w:uiPriority w:val="99"/>
    <w:semiHidden/>
    <w:unhideWhenUsed/>
    <w:rsid w:val="007E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7E6B63"/>
    <w:rPr>
      <w:rFonts w:ascii="Courier New" w:eastAsia="Times New Roman" w:hAnsi="Courier New" w:cs="Courier New"/>
      <w:sz w:val="20"/>
      <w:szCs w:val="20"/>
      <w:lang w:eastAsia="en-ID"/>
    </w:rPr>
  </w:style>
  <w:style w:type="character" w:styleId="PlaceholderText">
    <w:name w:val="Placeholder Text"/>
    <w:basedOn w:val="DefaultParagraphFont"/>
    <w:uiPriority w:val="99"/>
    <w:semiHidden/>
    <w:rsid w:val="00FD6550"/>
    <w:rPr>
      <w:color w:val="808080"/>
    </w:rPr>
  </w:style>
  <w:style w:type="character" w:styleId="Hyperlink">
    <w:name w:val="Hyperlink"/>
    <w:basedOn w:val="DefaultParagraphFont"/>
    <w:uiPriority w:val="99"/>
    <w:unhideWhenUsed/>
    <w:rsid w:val="00CB538A"/>
    <w:rPr>
      <w:color w:val="0563C1" w:themeColor="hyperlink"/>
      <w:u w:val="single"/>
    </w:rPr>
  </w:style>
  <w:style w:type="character" w:styleId="UnresolvedMention">
    <w:name w:val="Unresolved Mention"/>
    <w:basedOn w:val="DefaultParagraphFont"/>
    <w:uiPriority w:val="99"/>
    <w:semiHidden/>
    <w:unhideWhenUsed/>
    <w:rsid w:val="00CB538A"/>
    <w:rPr>
      <w:color w:val="605E5C"/>
      <w:shd w:val="clear" w:color="auto" w:fill="E1DFDD"/>
    </w:rPr>
  </w:style>
  <w:style w:type="character" w:styleId="EndnoteReference">
    <w:name w:val="endnote reference"/>
    <w:basedOn w:val="DefaultParagraphFont"/>
    <w:uiPriority w:val="99"/>
    <w:semiHidden/>
    <w:unhideWhenUsed/>
    <w:rsid w:val="00744F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460855">
      <w:bodyDiv w:val="1"/>
      <w:marLeft w:val="0"/>
      <w:marRight w:val="0"/>
      <w:marTop w:val="0"/>
      <w:marBottom w:val="0"/>
      <w:divBdr>
        <w:top w:val="none" w:sz="0" w:space="0" w:color="auto"/>
        <w:left w:val="none" w:sz="0" w:space="0" w:color="auto"/>
        <w:bottom w:val="none" w:sz="0" w:space="0" w:color="auto"/>
        <w:right w:val="none" w:sz="0" w:space="0" w:color="auto"/>
      </w:divBdr>
    </w:div>
    <w:div w:id="1566529195">
      <w:bodyDiv w:val="1"/>
      <w:marLeft w:val="0"/>
      <w:marRight w:val="0"/>
      <w:marTop w:val="0"/>
      <w:marBottom w:val="0"/>
      <w:divBdr>
        <w:top w:val="none" w:sz="0" w:space="0" w:color="auto"/>
        <w:left w:val="none" w:sz="0" w:space="0" w:color="auto"/>
        <w:bottom w:val="none" w:sz="0" w:space="0" w:color="auto"/>
        <w:right w:val="none" w:sz="0" w:space="0" w:color="auto"/>
      </w:divBdr>
    </w:div>
    <w:div w:id="206452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jiadam0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929E1-B562-4263-85C5-334BA569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17</Pages>
  <Words>15151</Words>
  <Characters>86364</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panji adam</dc:creator>
  <cp:keywords/>
  <dc:description/>
  <cp:lastModifiedBy>panji adam</cp:lastModifiedBy>
  <cp:revision>109</cp:revision>
  <dcterms:created xsi:type="dcterms:W3CDTF">2021-02-12T21:53:00Z</dcterms:created>
  <dcterms:modified xsi:type="dcterms:W3CDTF">2021-02-18T11:33:00Z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bc5e2c89-4730-3c16-af53-250daa358b8f</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