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84" w:rsidRDefault="00EC7EF6" w:rsidP="00BE227A">
      <w:pPr>
        <w:jc w:val="center"/>
        <w:rPr>
          <w:rFonts w:ascii="Bookman Old Style" w:hAnsi="Bookman Old Style"/>
          <w:b/>
          <w:sz w:val="24"/>
          <w:szCs w:val="24"/>
        </w:rPr>
      </w:pPr>
      <w:r w:rsidRPr="00EC7EF6">
        <w:rPr>
          <w:rFonts w:ascii="Bookman Old Style" w:hAnsi="Bookman Old Style"/>
          <w:b/>
          <w:sz w:val="24"/>
          <w:szCs w:val="24"/>
        </w:rPr>
        <w:t>DEKRIMINALISASI</w:t>
      </w:r>
      <w:r w:rsidR="00714FDC" w:rsidRPr="00A34E88">
        <w:rPr>
          <w:rFonts w:ascii="Bookman Old Style" w:hAnsi="Bookman Old Style"/>
          <w:b/>
          <w:sz w:val="24"/>
          <w:szCs w:val="24"/>
        </w:rPr>
        <w:t xml:space="preserve"> TINDAK PIDANA : MEMBEDAH </w:t>
      </w:r>
      <w:r w:rsidR="00967016" w:rsidRPr="00A34E88">
        <w:rPr>
          <w:rFonts w:ascii="Bookman Old Style" w:hAnsi="Bookman Old Style"/>
          <w:b/>
          <w:sz w:val="24"/>
          <w:szCs w:val="24"/>
        </w:rPr>
        <w:t xml:space="preserve">KEADILAN BAGI </w:t>
      </w:r>
      <w:r w:rsidR="00BE227A" w:rsidRPr="00A34E88">
        <w:rPr>
          <w:rFonts w:ascii="Bookman Old Style" w:hAnsi="Bookman Old Style"/>
          <w:b/>
          <w:sz w:val="24"/>
          <w:szCs w:val="24"/>
        </w:rPr>
        <w:t>TERPIDANA</w:t>
      </w:r>
      <w:r w:rsidR="00465CFE" w:rsidRPr="00A34E88">
        <w:rPr>
          <w:rFonts w:ascii="Bookman Old Style" w:hAnsi="Bookman Old Style"/>
          <w:b/>
          <w:sz w:val="24"/>
          <w:szCs w:val="24"/>
        </w:rPr>
        <w:t xml:space="preserve"> DAN MANTAN TERPIDANA      </w:t>
      </w:r>
    </w:p>
    <w:p w:rsidR="00A26741" w:rsidRPr="00A34E88" w:rsidRDefault="00465CFE" w:rsidP="00BE227A">
      <w:pPr>
        <w:jc w:val="center"/>
        <w:rPr>
          <w:rFonts w:ascii="Bookman Old Style" w:hAnsi="Bookman Old Style"/>
          <w:b/>
          <w:sz w:val="24"/>
          <w:szCs w:val="24"/>
        </w:rPr>
      </w:pPr>
      <w:r w:rsidRPr="00A34E88">
        <w:rPr>
          <w:rFonts w:ascii="Bookman Old Style" w:hAnsi="Bookman Old Style"/>
          <w:b/>
          <w:sz w:val="24"/>
          <w:szCs w:val="24"/>
        </w:rPr>
        <w:t xml:space="preserve">                        </w:t>
      </w:r>
      <w:r w:rsidR="00BE227A" w:rsidRPr="00A34E88">
        <w:rPr>
          <w:rFonts w:ascii="Bookman Old Style" w:hAnsi="Bookman Old Style"/>
          <w:b/>
          <w:sz w:val="24"/>
          <w:szCs w:val="24"/>
        </w:rPr>
        <w:t xml:space="preserve"> </w:t>
      </w:r>
    </w:p>
    <w:p w:rsidR="00967016" w:rsidRPr="00A34E88" w:rsidRDefault="00BE227A" w:rsidP="00BE227A">
      <w:pPr>
        <w:spacing w:after="0"/>
        <w:jc w:val="center"/>
        <w:rPr>
          <w:rFonts w:ascii="Bookman Old Style" w:hAnsi="Bookman Old Style"/>
          <w:b/>
          <w:sz w:val="24"/>
          <w:szCs w:val="24"/>
        </w:rPr>
      </w:pPr>
      <w:r w:rsidRPr="00A34E88">
        <w:rPr>
          <w:rFonts w:ascii="Bookman Old Style" w:hAnsi="Bookman Old Style"/>
          <w:b/>
          <w:sz w:val="24"/>
          <w:szCs w:val="24"/>
        </w:rPr>
        <w:t>Andi Intan Purnamasari</w:t>
      </w:r>
      <w:r w:rsidRPr="00A34E88">
        <w:rPr>
          <w:rStyle w:val="FootnoteReference"/>
          <w:rFonts w:ascii="Bookman Old Style" w:hAnsi="Bookman Old Style"/>
          <w:b/>
          <w:sz w:val="24"/>
          <w:szCs w:val="24"/>
        </w:rPr>
        <w:footnoteReference w:id="2"/>
      </w:r>
      <w:r w:rsidR="00967016" w:rsidRPr="00A34E88">
        <w:rPr>
          <w:rFonts w:ascii="Bookman Old Style" w:hAnsi="Bookman Old Style"/>
          <w:b/>
          <w:sz w:val="24"/>
          <w:szCs w:val="24"/>
        </w:rPr>
        <w:t xml:space="preserve"> </w:t>
      </w:r>
    </w:p>
    <w:p w:rsidR="00BE227A" w:rsidRPr="00A34E88" w:rsidRDefault="00BE227A" w:rsidP="00BE227A">
      <w:pPr>
        <w:spacing w:after="0"/>
        <w:jc w:val="center"/>
        <w:rPr>
          <w:rFonts w:ascii="Bookman Old Style" w:hAnsi="Bookman Old Style"/>
          <w:sz w:val="24"/>
          <w:szCs w:val="24"/>
        </w:rPr>
      </w:pPr>
      <w:r w:rsidRPr="00A34E88">
        <w:rPr>
          <w:rFonts w:ascii="Bookman Old Style" w:hAnsi="Bookman Old Style"/>
          <w:sz w:val="24"/>
          <w:szCs w:val="24"/>
        </w:rPr>
        <w:t xml:space="preserve">Program Studi Ilmu Hukum </w:t>
      </w:r>
    </w:p>
    <w:p w:rsidR="00BE227A" w:rsidRPr="00A34E88" w:rsidRDefault="00BE227A" w:rsidP="00BE227A">
      <w:pPr>
        <w:spacing w:after="0"/>
        <w:jc w:val="center"/>
        <w:rPr>
          <w:rFonts w:ascii="Bookman Old Style" w:hAnsi="Bookman Old Style"/>
          <w:sz w:val="24"/>
          <w:szCs w:val="24"/>
        </w:rPr>
      </w:pPr>
      <w:r w:rsidRPr="00A34E88">
        <w:rPr>
          <w:rFonts w:ascii="Bookman Old Style" w:hAnsi="Bookman Old Style"/>
          <w:sz w:val="24"/>
          <w:szCs w:val="24"/>
        </w:rPr>
        <w:t>Fakultas Hukum Universitas Tadulako</w:t>
      </w:r>
    </w:p>
    <w:p w:rsidR="00BE227A" w:rsidRDefault="00BE227A" w:rsidP="00BE227A">
      <w:pPr>
        <w:spacing w:after="0"/>
        <w:jc w:val="center"/>
        <w:rPr>
          <w:rFonts w:ascii="Bookman Old Style" w:hAnsi="Bookman Old Style"/>
          <w:sz w:val="24"/>
          <w:szCs w:val="24"/>
        </w:rPr>
      </w:pPr>
      <w:r w:rsidRPr="00A34E88">
        <w:rPr>
          <w:rFonts w:ascii="Bookman Old Style" w:hAnsi="Bookman Old Style"/>
          <w:sz w:val="24"/>
          <w:szCs w:val="24"/>
        </w:rPr>
        <w:t>Jalan Soekarno Hatta Km 9 Tondo, Kota Palu Palu, Sulawesi Tengah  94118</w:t>
      </w:r>
    </w:p>
    <w:p w:rsidR="00BE227A" w:rsidRPr="00A34E88" w:rsidRDefault="000A33B7" w:rsidP="00BE227A">
      <w:pPr>
        <w:spacing w:after="0"/>
        <w:jc w:val="center"/>
        <w:rPr>
          <w:rFonts w:ascii="Bookman Old Style" w:hAnsi="Bookman Old Style"/>
          <w:sz w:val="24"/>
          <w:szCs w:val="24"/>
        </w:rPr>
      </w:pPr>
      <w:hyperlink r:id="rId8" w:history="1">
        <w:r w:rsidR="00BF2B3D" w:rsidRPr="00A34E88">
          <w:rPr>
            <w:rStyle w:val="Hyperlink"/>
            <w:rFonts w:ascii="Bookman Old Style" w:hAnsi="Bookman Old Style"/>
            <w:sz w:val="24"/>
            <w:szCs w:val="24"/>
          </w:rPr>
          <w:t>andi.intanpurnamasari@gmail.com</w:t>
        </w:r>
      </w:hyperlink>
    </w:p>
    <w:p w:rsidR="00BE227A" w:rsidRPr="00A34E88" w:rsidRDefault="00BE227A" w:rsidP="00BE227A">
      <w:pPr>
        <w:spacing w:after="0"/>
        <w:jc w:val="center"/>
        <w:rPr>
          <w:rFonts w:ascii="Bookman Old Style" w:hAnsi="Bookman Old Style"/>
          <w:sz w:val="24"/>
          <w:szCs w:val="24"/>
        </w:rPr>
      </w:pPr>
    </w:p>
    <w:p w:rsidR="00BE227A" w:rsidRDefault="00BE227A" w:rsidP="00BE227A">
      <w:pPr>
        <w:spacing w:after="0"/>
        <w:jc w:val="center"/>
        <w:rPr>
          <w:rFonts w:ascii="Bookman Old Style" w:hAnsi="Bookman Old Style"/>
          <w:b/>
          <w:i/>
          <w:sz w:val="24"/>
          <w:szCs w:val="24"/>
        </w:rPr>
      </w:pPr>
      <w:r w:rsidRPr="00A34E88">
        <w:rPr>
          <w:rFonts w:ascii="Bookman Old Style" w:hAnsi="Bookman Old Style"/>
          <w:b/>
          <w:i/>
          <w:sz w:val="24"/>
          <w:szCs w:val="24"/>
        </w:rPr>
        <w:t>ABSTRACT</w:t>
      </w:r>
    </w:p>
    <w:p w:rsidR="003B4788" w:rsidRDefault="003B4788" w:rsidP="00BE227A">
      <w:pPr>
        <w:spacing w:after="0"/>
        <w:jc w:val="center"/>
        <w:rPr>
          <w:rFonts w:ascii="Bookman Old Style" w:hAnsi="Bookman Old Style"/>
          <w:b/>
          <w:i/>
          <w:sz w:val="24"/>
          <w:szCs w:val="24"/>
        </w:rPr>
      </w:pPr>
    </w:p>
    <w:p w:rsidR="003B4788" w:rsidRDefault="003B4788" w:rsidP="00DB355C">
      <w:pPr>
        <w:spacing w:after="0"/>
        <w:jc w:val="both"/>
        <w:rPr>
          <w:rFonts w:ascii="Bookman Old Style" w:hAnsi="Bookman Old Style"/>
          <w:i/>
          <w:sz w:val="24"/>
          <w:szCs w:val="24"/>
        </w:rPr>
      </w:pPr>
      <w:r w:rsidRPr="003B4788">
        <w:rPr>
          <w:rFonts w:ascii="Bookman Old Style" w:hAnsi="Bookman Old Style"/>
          <w:i/>
          <w:sz w:val="24"/>
          <w:szCs w:val="24"/>
        </w:rPr>
        <w:t xml:space="preserve">Legal developments in Indonesia, </w:t>
      </w:r>
      <w:r w:rsidR="00DB355C" w:rsidRPr="00DB355C">
        <w:rPr>
          <w:rFonts w:ascii="Bookman Old Style" w:hAnsi="Bookman Old Style"/>
          <w:i/>
          <w:sz w:val="24"/>
          <w:szCs w:val="24"/>
        </w:rPr>
        <w:t>always changes</w:t>
      </w:r>
      <w:r w:rsidRPr="003B4788">
        <w:rPr>
          <w:rFonts w:ascii="Bookman Old Style" w:hAnsi="Bookman Old Style"/>
          <w:i/>
          <w:sz w:val="24"/>
          <w:szCs w:val="24"/>
        </w:rPr>
        <w:t xml:space="preserve">. </w:t>
      </w:r>
      <w:r w:rsidR="00DB355C" w:rsidRPr="00DB355C">
        <w:rPr>
          <w:rFonts w:ascii="Bookman Old Style" w:hAnsi="Bookman Old Style"/>
          <w:i/>
          <w:sz w:val="24"/>
          <w:szCs w:val="24"/>
        </w:rPr>
        <w:t xml:space="preserve">As </w:t>
      </w:r>
      <w:r w:rsidR="00DB355C" w:rsidRPr="00DB355C">
        <w:rPr>
          <w:rFonts w:ascii="Bookman Old Style" w:hAnsi="Bookman Old Style"/>
          <w:i/>
          <w:sz w:val="24"/>
          <w:szCs w:val="24"/>
        </w:rPr>
        <w:t>well as criminal law</w:t>
      </w:r>
      <w:r w:rsidRPr="003B4788">
        <w:rPr>
          <w:rFonts w:ascii="Bookman Old Style" w:hAnsi="Bookman Old Style"/>
          <w:i/>
          <w:sz w:val="24"/>
          <w:szCs w:val="24"/>
        </w:rPr>
        <w:t xml:space="preserve">. One of the substantial things that changed the changes in Criminal Law was changes in the </w:t>
      </w:r>
      <w:r w:rsidR="0045000D">
        <w:rPr>
          <w:rFonts w:ascii="Bookman Old Style" w:hAnsi="Bookman Old Style"/>
          <w:i/>
          <w:sz w:val="24"/>
          <w:szCs w:val="24"/>
        </w:rPr>
        <w:t xml:space="preserve">Penal </w:t>
      </w:r>
      <w:r w:rsidRPr="003B4788">
        <w:rPr>
          <w:rFonts w:ascii="Bookman Old Style" w:hAnsi="Bookman Old Style"/>
          <w:i/>
          <w:sz w:val="24"/>
          <w:szCs w:val="24"/>
        </w:rPr>
        <w:t>Code (KUHP). The development of the Criminal Law that occurred was carried out by decriminalization of offenses. Such as Article 134.136 bis 137, 154, 155, 209.210, 387,388, 415 to 420, 423, 425, 435 and several other articles. Meanwhile, Article 1 paragraph (2) of the Criminal Code cites that if changes are made in the regulations, the lightest rule is used for the defendant. Legal Subject Article 1 paragraph (2) of the Criminal Code of the defendant, so that decriminalization can also occur, the Subject of Decriminalization is Defendant. Decriminalization occurs against offenses based on philosophical, sociologic</w:t>
      </w:r>
      <w:r w:rsidR="00107E59">
        <w:rPr>
          <w:rFonts w:ascii="Bookman Old Style" w:hAnsi="Bookman Old Style"/>
          <w:i/>
          <w:sz w:val="24"/>
          <w:szCs w:val="24"/>
        </w:rPr>
        <w:t>al and juridical considerations</w:t>
      </w:r>
      <w:r w:rsidRPr="003B4788">
        <w:rPr>
          <w:rFonts w:ascii="Bookman Old Style" w:hAnsi="Bookman Old Style"/>
          <w:i/>
          <w:sz w:val="24"/>
          <w:szCs w:val="24"/>
        </w:rPr>
        <w:t xml:space="preserve"> so that regulations can be changed. With the paradigm change in an offense. So, this change should also be accepted by the convicts and former convicts. The status of convicts and former convicts carried by a person but the offense committed is no longer considere</w:t>
      </w:r>
      <w:r w:rsidR="00107E59">
        <w:rPr>
          <w:rFonts w:ascii="Bookman Old Style" w:hAnsi="Bookman Old Style"/>
          <w:i/>
          <w:sz w:val="24"/>
          <w:szCs w:val="24"/>
        </w:rPr>
        <w:t xml:space="preserve">d a criminal offense, of course, </w:t>
      </w:r>
      <w:r w:rsidRPr="003B4788">
        <w:rPr>
          <w:rFonts w:ascii="Bookman Old Style" w:hAnsi="Bookman Old Style"/>
          <w:i/>
          <w:sz w:val="24"/>
          <w:szCs w:val="24"/>
        </w:rPr>
        <w:t>it must receive special attention. This paper raises the issue of Justice for convicts and former convicts for offenses that are no longer a legal offense. The method used by Normative about using literature.</w:t>
      </w:r>
    </w:p>
    <w:p w:rsidR="003B4788" w:rsidRDefault="003B4788" w:rsidP="003B4788">
      <w:pPr>
        <w:spacing w:after="0"/>
        <w:jc w:val="both"/>
        <w:rPr>
          <w:rFonts w:ascii="Bookman Old Style" w:hAnsi="Bookman Old Style"/>
          <w:i/>
          <w:sz w:val="24"/>
          <w:szCs w:val="24"/>
        </w:rPr>
      </w:pPr>
    </w:p>
    <w:p w:rsidR="0045000D" w:rsidRPr="0045000D" w:rsidRDefault="0045000D" w:rsidP="0045000D">
      <w:pPr>
        <w:spacing w:after="0"/>
        <w:ind w:left="1610" w:hanging="1596"/>
        <w:jc w:val="both"/>
        <w:rPr>
          <w:rFonts w:ascii="Bookman Old Style" w:hAnsi="Bookman Old Style"/>
          <w:b/>
          <w:i/>
          <w:sz w:val="24"/>
          <w:szCs w:val="24"/>
        </w:rPr>
      </w:pPr>
      <w:r w:rsidRPr="0045000D">
        <w:rPr>
          <w:rFonts w:ascii="Bookman Old Style" w:hAnsi="Bookman Old Style"/>
          <w:b/>
          <w:i/>
          <w:sz w:val="24"/>
          <w:szCs w:val="24"/>
        </w:rPr>
        <w:t>Keywords : Decriminalization, Delict, Convicted person, and former convict</w:t>
      </w:r>
      <w:r w:rsidR="000C371A">
        <w:rPr>
          <w:rFonts w:ascii="Bookman Old Style" w:hAnsi="Bookman Old Style"/>
          <w:b/>
          <w:i/>
          <w:sz w:val="24"/>
          <w:szCs w:val="24"/>
        </w:rPr>
        <w:t>.</w:t>
      </w:r>
    </w:p>
    <w:p w:rsidR="003B4788" w:rsidRPr="003B4788" w:rsidRDefault="003B4788" w:rsidP="003B4788">
      <w:pPr>
        <w:spacing w:after="0"/>
        <w:jc w:val="both"/>
        <w:rPr>
          <w:rFonts w:ascii="Bookman Old Style" w:hAnsi="Bookman Old Style"/>
          <w:i/>
          <w:sz w:val="24"/>
          <w:szCs w:val="24"/>
        </w:rPr>
      </w:pPr>
    </w:p>
    <w:p w:rsidR="00BE227A" w:rsidRPr="00A34E88" w:rsidRDefault="00BE227A" w:rsidP="00BE227A">
      <w:pPr>
        <w:spacing w:after="0"/>
        <w:jc w:val="center"/>
        <w:rPr>
          <w:rFonts w:ascii="Bookman Old Style" w:hAnsi="Bookman Old Style"/>
          <w:b/>
          <w:i/>
          <w:sz w:val="24"/>
          <w:szCs w:val="24"/>
        </w:rPr>
      </w:pPr>
      <w:r w:rsidRPr="00A34E88">
        <w:rPr>
          <w:rFonts w:ascii="Bookman Old Style" w:hAnsi="Bookman Old Style"/>
          <w:b/>
          <w:i/>
          <w:sz w:val="24"/>
          <w:szCs w:val="24"/>
        </w:rPr>
        <w:t>ABSTRAK</w:t>
      </w:r>
    </w:p>
    <w:p w:rsidR="00BE227A" w:rsidRPr="00A34E88" w:rsidRDefault="00BE227A" w:rsidP="00BE227A">
      <w:pPr>
        <w:spacing w:after="0"/>
        <w:jc w:val="both"/>
        <w:rPr>
          <w:rFonts w:ascii="Bookman Old Style" w:hAnsi="Bookman Old Style"/>
          <w:b/>
          <w:sz w:val="24"/>
          <w:szCs w:val="24"/>
        </w:rPr>
      </w:pPr>
    </w:p>
    <w:p w:rsidR="00BE227A" w:rsidRPr="00A34E88" w:rsidRDefault="00862879" w:rsidP="00BE227A">
      <w:pPr>
        <w:spacing w:after="0"/>
        <w:jc w:val="both"/>
        <w:rPr>
          <w:rFonts w:ascii="Bookman Old Style" w:hAnsi="Bookman Old Style"/>
          <w:sz w:val="24"/>
          <w:szCs w:val="24"/>
        </w:rPr>
      </w:pPr>
      <w:r w:rsidRPr="00A34E88">
        <w:rPr>
          <w:rFonts w:ascii="Bookman Old Style" w:hAnsi="Bookman Old Style"/>
          <w:sz w:val="24"/>
          <w:szCs w:val="24"/>
        </w:rPr>
        <w:t>Perkembangan Hukum di Indonesia</w:t>
      </w:r>
      <w:r w:rsidR="00BE227A" w:rsidRPr="00A34E88">
        <w:rPr>
          <w:rFonts w:ascii="Bookman Old Style" w:hAnsi="Bookman Old Style"/>
          <w:sz w:val="24"/>
          <w:szCs w:val="24"/>
        </w:rPr>
        <w:t xml:space="preserve">, senantiasa mengalami perubahan. </w:t>
      </w:r>
      <w:r w:rsidR="00DC714B" w:rsidRPr="00A34E88">
        <w:rPr>
          <w:rFonts w:ascii="Bookman Old Style" w:hAnsi="Bookman Old Style"/>
          <w:sz w:val="24"/>
          <w:szCs w:val="24"/>
        </w:rPr>
        <w:t xml:space="preserve"> </w:t>
      </w:r>
      <w:r w:rsidR="00DB355C">
        <w:rPr>
          <w:rFonts w:ascii="Bookman Old Style" w:hAnsi="Bookman Old Style"/>
          <w:sz w:val="24"/>
          <w:szCs w:val="24"/>
        </w:rPr>
        <w:t>Begitu juga</w:t>
      </w:r>
      <w:r w:rsidRPr="00A34E88">
        <w:rPr>
          <w:rFonts w:ascii="Bookman Old Style" w:hAnsi="Bookman Old Style"/>
          <w:sz w:val="24"/>
          <w:szCs w:val="24"/>
        </w:rPr>
        <w:t xml:space="preserve"> dengan Hukum Pidana.</w:t>
      </w:r>
      <w:r w:rsidR="002D4DB2" w:rsidRPr="00A34E88">
        <w:rPr>
          <w:rFonts w:ascii="Bookman Old Style" w:hAnsi="Bookman Old Style"/>
          <w:sz w:val="24"/>
          <w:szCs w:val="24"/>
        </w:rPr>
        <w:t xml:space="preserve"> </w:t>
      </w:r>
      <w:r w:rsidR="00770E55" w:rsidRPr="00A34E88">
        <w:rPr>
          <w:rFonts w:ascii="Bookman Old Style" w:hAnsi="Bookman Old Style"/>
          <w:sz w:val="24"/>
          <w:szCs w:val="24"/>
        </w:rPr>
        <w:t>Salah satu hal</w:t>
      </w:r>
      <w:r w:rsidR="002D4DB2" w:rsidRPr="00A34E88">
        <w:rPr>
          <w:rFonts w:ascii="Bookman Old Style" w:hAnsi="Bookman Old Style"/>
          <w:sz w:val="24"/>
          <w:szCs w:val="24"/>
        </w:rPr>
        <w:t xml:space="preserve"> substansial yang mengalami perubahan dalam Hukum Pidana adalah terjadinya perubahan</w:t>
      </w:r>
      <w:r w:rsidR="00770E55" w:rsidRPr="00A34E88">
        <w:rPr>
          <w:rFonts w:ascii="Bookman Old Style" w:hAnsi="Bookman Old Style"/>
          <w:sz w:val="24"/>
          <w:szCs w:val="24"/>
        </w:rPr>
        <w:t xml:space="preserve"> dalam </w:t>
      </w:r>
      <w:r w:rsidR="002D4DB2" w:rsidRPr="00A34E88">
        <w:rPr>
          <w:rFonts w:ascii="Bookman Old Style" w:hAnsi="Bookman Old Style"/>
          <w:sz w:val="24"/>
          <w:szCs w:val="24"/>
        </w:rPr>
        <w:t>Kitab Undang-undang Hukum Pidana (KUHP).</w:t>
      </w:r>
      <w:r w:rsidR="004C6EC2" w:rsidRPr="00A34E88">
        <w:rPr>
          <w:rFonts w:ascii="Bookman Old Style" w:hAnsi="Bookman Old Style"/>
          <w:sz w:val="24"/>
          <w:szCs w:val="24"/>
        </w:rPr>
        <w:t xml:space="preserve"> Perkembangan Hukum Pidana </w:t>
      </w:r>
      <w:r w:rsidR="00B828E0" w:rsidRPr="00A34E88">
        <w:rPr>
          <w:rFonts w:ascii="Bookman Old Style" w:hAnsi="Bookman Old Style"/>
          <w:sz w:val="24"/>
          <w:szCs w:val="24"/>
        </w:rPr>
        <w:t>yang terjadi memungkin</w:t>
      </w:r>
      <w:r w:rsidR="00E570A0" w:rsidRPr="00A34E88">
        <w:rPr>
          <w:rFonts w:ascii="Bookman Old Style" w:hAnsi="Bookman Old Style"/>
          <w:sz w:val="24"/>
          <w:szCs w:val="24"/>
        </w:rPr>
        <w:t>k</w:t>
      </w:r>
      <w:r w:rsidR="00B828E0" w:rsidRPr="00A34E88">
        <w:rPr>
          <w:rFonts w:ascii="Bookman Old Style" w:hAnsi="Bookman Old Style"/>
          <w:sz w:val="24"/>
          <w:szCs w:val="24"/>
        </w:rPr>
        <w:t xml:space="preserve">an dilakukan </w:t>
      </w:r>
      <w:r w:rsidR="00EC7EF6" w:rsidRPr="00EC7EF6">
        <w:rPr>
          <w:rFonts w:ascii="Bookman Old Style" w:hAnsi="Bookman Old Style"/>
          <w:i/>
          <w:sz w:val="24"/>
          <w:szCs w:val="24"/>
        </w:rPr>
        <w:t>dekriminalisasi</w:t>
      </w:r>
      <w:r w:rsidR="00B828E0" w:rsidRPr="00A34E88">
        <w:rPr>
          <w:rFonts w:ascii="Bookman Old Style" w:hAnsi="Bookman Old Style"/>
          <w:sz w:val="24"/>
          <w:szCs w:val="24"/>
        </w:rPr>
        <w:t xml:space="preserve"> </w:t>
      </w:r>
      <w:r w:rsidR="00B828E0" w:rsidRPr="00A34E88">
        <w:rPr>
          <w:rFonts w:ascii="Bookman Old Style" w:hAnsi="Bookman Old Style"/>
          <w:sz w:val="24"/>
          <w:szCs w:val="24"/>
        </w:rPr>
        <w:lastRenderedPageBreak/>
        <w:t>terhadap delik</w:t>
      </w:r>
      <w:r w:rsidR="001B0891" w:rsidRPr="00A34E88">
        <w:rPr>
          <w:rFonts w:ascii="Bookman Old Style" w:hAnsi="Bookman Old Style"/>
          <w:sz w:val="24"/>
          <w:szCs w:val="24"/>
        </w:rPr>
        <w:t>. Seperti Pasal 134,136 bis 137</w:t>
      </w:r>
      <w:r w:rsidR="00CC64DB" w:rsidRPr="00A34E88">
        <w:rPr>
          <w:rFonts w:ascii="Bookman Old Style" w:hAnsi="Bookman Old Style"/>
          <w:sz w:val="24"/>
          <w:szCs w:val="24"/>
        </w:rPr>
        <w:t>, 154, 155, 209,210, 387,388, 415 sampai dengan 420, 423, 425, 435 dan beberapa pasal lainnya</w:t>
      </w:r>
      <w:r w:rsidR="001B0AC9" w:rsidRPr="00A34E88">
        <w:rPr>
          <w:rFonts w:ascii="Bookman Old Style" w:hAnsi="Bookman Old Style"/>
          <w:sz w:val="24"/>
          <w:szCs w:val="24"/>
        </w:rPr>
        <w:t>.</w:t>
      </w:r>
      <w:r w:rsidR="00226EE6" w:rsidRPr="00A34E88">
        <w:rPr>
          <w:rFonts w:ascii="Bookman Old Style" w:hAnsi="Bookman Old Style"/>
          <w:sz w:val="24"/>
          <w:szCs w:val="24"/>
        </w:rPr>
        <w:t xml:space="preserve"> </w:t>
      </w:r>
      <w:r w:rsidR="00106E42" w:rsidRPr="00A34E88">
        <w:rPr>
          <w:rFonts w:ascii="Bookman Old Style" w:hAnsi="Bookman Old Style"/>
          <w:sz w:val="24"/>
          <w:szCs w:val="24"/>
        </w:rPr>
        <w:t xml:space="preserve">Sementara itu, </w:t>
      </w:r>
      <w:r w:rsidR="00D6011F" w:rsidRPr="00A34E88">
        <w:rPr>
          <w:rFonts w:ascii="Bookman Old Style" w:hAnsi="Bookman Old Style"/>
          <w:sz w:val="24"/>
          <w:szCs w:val="24"/>
        </w:rPr>
        <w:t xml:space="preserve">Pasal 1 ayat (2) </w:t>
      </w:r>
      <w:r w:rsidR="00106E42" w:rsidRPr="00A34E88">
        <w:rPr>
          <w:rFonts w:ascii="Bookman Old Style" w:hAnsi="Bookman Old Style"/>
          <w:sz w:val="24"/>
          <w:szCs w:val="24"/>
        </w:rPr>
        <w:t xml:space="preserve">KUHP </w:t>
      </w:r>
      <w:r w:rsidR="00D6011F" w:rsidRPr="00A34E88">
        <w:rPr>
          <w:rFonts w:ascii="Bookman Old Style" w:hAnsi="Bookman Old Style"/>
          <w:sz w:val="24"/>
          <w:szCs w:val="24"/>
        </w:rPr>
        <w:t>menyebutkan bahwa Jika sesudah perbuatan dilakukan ada perubahan dalam perundang-undangan, dipakai aturan paling ringan bagi terdakwa.</w:t>
      </w:r>
      <w:r w:rsidR="00106E42" w:rsidRPr="00A34E88">
        <w:rPr>
          <w:rFonts w:ascii="Bookman Old Style" w:hAnsi="Bookman Old Style"/>
          <w:sz w:val="24"/>
          <w:szCs w:val="24"/>
        </w:rPr>
        <w:t xml:space="preserve"> </w:t>
      </w:r>
      <w:r w:rsidR="00A34E88">
        <w:rPr>
          <w:rFonts w:ascii="Bookman Old Style" w:hAnsi="Bookman Old Style"/>
          <w:sz w:val="24"/>
          <w:szCs w:val="24"/>
        </w:rPr>
        <w:t xml:space="preserve">Subyek </w:t>
      </w:r>
      <w:r w:rsidR="00D6011F" w:rsidRPr="00A34E88">
        <w:rPr>
          <w:rFonts w:ascii="Bookman Old Style" w:hAnsi="Bookman Old Style"/>
          <w:sz w:val="24"/>
          <w:szCs w:val="24"/>
        </w:rPr>
        <w:t xml:space="preserve"> Hukum </w:t>
      </w:r>
      <w:r w:rsidR="00106E42" w:rsidRPr="00A34E88">
        <w:rPr>
          <w:rFonts w:ascii="Bookman Old Style" w:hAnsi="Bookman Old Style"/>
          <w:sz w:val="24"/>
          <w:szCs w:val="24"/>
        </w:rPr>
        <w:t>Pasal 1 ayat (2) KUHP</w:t>
      </w:r>
      <w:r w:rsidR="00190B1D" w:rsidRPr="00A34E88">
        <w:rPr>
          <w:rFonts w:ascii="Bookman Old Style" w:hAnsi="Bookman Old Style"/>
          <w:sz w:val="24"/>
          <w:szCs w:val="24"/>
        </w:rPr>
        <w:t xml:space="preserve"> </w:t>
      </w:r>
      <w:r w:rsidR="00D653FB" w:rsidRPr="00A34E88">
        <w:rPr>
          <w:rFonts w:ascii="Bookman Old Style" w:hAnsi="Bookman Old Style"/>
          <w:sz w:val="24"/>
          <w:szCs w:val="24"/>
        </w:rPr>
        <w:t xml:space="preserve"> adalah terdakwa</w:t>
      </w:r>
      <w:r w:rsidR="00106E42" w:rsidRPr="00A34E88">
        <w:rPr>
          <w:rFonts w:ascii="Bookman Old Style" w:hAnsi="Bookman Old Style"/>
          <w:sz w:val="24"/>
          <w:szCs w:val="24"/>
        </w:rPr>
        <w:t xml:space="preserve">, begitu juga bila terjadi </w:t>
      </w:r>
      <w:r w:rsidR="00EC7EF6" w:rsidRPr="00EC7EF6">
        <w:rPr>
          <w:rFonts w:ascii="Bookman Old Style" w:hAnsi="Bookman Old Style"/>
          <w:i/>
          <w:sz w:val="24"/>
          <w:szCs w:val="24"/>
        </w:rPr>
        <w:t>dekriminalisasi</w:t>
      </w:r>
      <w:r w:rsidR="00106E42" w:rsidRPr="00A34E88">
        <w:rPr>
          <w:rFonts w:ascii="Bookman Old Style" w:hAnsi="Bookman Old Style"/>
          <w:sz w:val="24"/>
          <w:szCs w:val="24"/>
        </w:rPr>
        <w:t xml:space="preserve"> maka </w:t>
      </w:r>
      <w:r w:rsidR="00A34E88">
        <w:rPr>
          <w:rFonts w:ascii="Bookman Old Style" w:hAnsi="Bookman Old Style"/>
          <w:sz w:val="24"/>
          <w:szCs w:val="24"/>
        </w:rPr>
        <w:t>Subyek</w:t>
      </w:r>
      <w:r w:rsidR="00106E42" w:rsidRPr="00A34E88">
        <w:rPr>
          <w:rFonts w:ascii="Bookman Old Style" w:hAnsi="Bookman Old Style"/>
          <w:sz w:val="24"/>
          <w:szCs w:val="24"/>
        </w:rPr>
        <w:t xml:space="preserve"> </w:t>
      </w:r>
      <w:r w:rsidR="00EC7EF6" w:rsidRPr="00EC7EF6">
        <w:rPr>
          <w:rFonts w:ascii="Bookman Old Style" w:hAnsi="Bookman Old Style"/>
          <w:i/>
          <w:sz w:val="24"/>
          <w:szCs w:val="24"/>
        </w:rPr>
        <w:t>Dekriminalisasi</w:t>
      </w:r>
      <w:r w:rsidR="00106E42" w:rsidRPr="00A34E88">
        <w:rPr>
          <w:rFonts w:ascii="Bookman Old Style" w:hAnsi="Bookman Old Style"/>
          <w:sz w:val="24"/>
          <w:szCs w:val="24"/>
        </w:rPr>
        <w:t xml:space="preserve"> adalah Terdakwa.</w:t>
      </w:r>
      <w:r w:rsidR="009B2FDF" w:rsidRPr="00A34E88">
        <w:rPr>
          <w:rFonts w:ascii="Bookman Old Style" w:hAnsi="Bookman Old Style"/>
          <w:sz w:val="24"/>
          <w:szCs w:val="24"/>
        </w:rPr>
        <w:t xml:space="preserve"> </w:t>
      </w:r>
      <w:r w:rsidR="00DD46D1" w:rsidRPr="00A34E88">
        <w:rPr>
          <w:rFonts w:ascii="Bookman Old Style" w:hAnsi="Bookman Old Style"/>
          <w:sz w:val="24"/>
          <w:szCs w:val="24"/>
        </w:rPr>
        <w:t xml:space="preserve">Terjadinya </w:t>
      </w:r>
      <w:r w:rsidR="00EC7EF6" w:rsidRPr="00EC7EF6">
        <w:rPr>
          <w:rFonts w:ascii="Bookman Old Style" w:hAnsi="Bookman Old Style"/>
          <w:i/>
          <w:sz w:val="24"/>
          <w:szCs w:val="24"/>
        </w:rPr>
        <w:t>dekriminalisasi</w:t>
      </w:r>
      <w:r w:rsidR="00DD46D1" w:rsidRPr="00A34E88">
        <w:rPr>
          <w:rFonts w:ascii="Bookman Old Style" w:hAnsi="Bookman Old Style"/>
          <w:sz w:val="24"/>
          <w:szCs w:val="24"/>
        </w:rPr>
        <w:t xml:space="preserve"> terhadap delik didasarkan oleh adanya pertimbangan Fi</w:t>
      </w:r>
      <w:r w:rsidR="00465CFE" w:rsidRPr="00A34E88">
        <w:rPr>
          <w:rFonts w:ascii="Bookman Old Style" w:hAnsi="Bookman Old Style"/>
          <w:sz w:val="24"/>
          <w:szCs w:val="24"/>
        </w:rPr>
        <w:t>losofis, Sosiologis dan Yuridis</w:t>
      </w:r>
      <w:r w:rsidR="007F6BEA" w:rsidRPr="00A34E88">
        <w:rPr>
          <w:rFonts w:ascii="Bookman Old Style" w:hAnsi="Bookman Old Style"/>
          <w:sz w:val="24"/>
          <w:szCs w:val="24"/>
        </w:rPr>
        <w:t>, sehingga peraturan dapat berubah</w:t>
      </w:r>
      <w:r w:rsidR="00465CFE" w:rsidRPr="00A34E88">
        <w:rPr>
          <w:rFonts w:ascii="Bookman Old Style" w:hAnsi="Bookman Old Style"/>
          <w:sz w:val="24"/>
          <w:szCs w:val="24"/>
        </w:rPr>
        <w:t xml:space="preserve">. Dengan </w:t>
      </w:r>
      <w:r w:rsidR="004A4400" w:rsidRPr="00A34E88">
        <w:rPr>
          <w:rFonts w:ascii="Bookman Old Style" w:hAnsi="Bookman Old Style"/>
          <w:sz w:val="24"/>
          <w:szCs w:val="24"/>
        </w:rPr>
        <w:t>adanya perubahan paradigma</w:t>
      </w:r>
      <w:r w:rsidR="00465CFE" w:rsidRPr="00A34E88">
        <w:rPr>
          <w:rFonts w:ascii="Bookman Old Style" w:hAnsi="Bookman Old Style"/>
          <w:sz w:val="24"/>
          <w:szCs w:val="24"/>
        </w:rPr>
        <w:t xml:space="preserve"> terhadap suatu delik. </w:t>
      </w:r>
      <w:r w:rsidR="004A4400" w:rsidRPr="00A34E88">
        <w:rPr>
          <w:rFonts w:ascii="Bookman Old Style" w:hAnsi="Bookman Old Style"/>
          <w:sz w:val="24"/>
          <w:szCs w:val="24"/>
        </w:rPr>
        <w:t>Maka, p</w:t>
      </w:r>
      <w:r w:rsidR="00465CFE" w:rsidRPr="00A34E88">
        <w:rPr>
          <w:rFonts w:ascii="Bookman Old Style" w:hAnsi="Bookman Old Style"/>
          <w:sz w:val="24"/>
          <w:szCs w:val="24"/>
        </w:rPr>
        <w:t>erubahan ini sepatutnya juga dirasakan oleh para Terpidana maupun mantan terpidana.</w:t>
      </w:r>
      <w:r w:rsidR="001D2D9D" w:rsidRPr="00A34E88">
        <w:rPr>
          <w:rFonts w:ascii="Bookman Old Style" w:hAnsi="Bookman Old Style"/>
          <w:sz w:val="24"/>
          <w:szCs w:val="24"/>
        </w:rPr>
        <w:t xml:space="preserve">  Status </w:t>
      </w:r>
      <w:r w:rsidR="00555B76" w:rsidRPr="00A34E88">
        <w:rPr>
          <w:rFonts w:ascii="Bookman Old Style" w:hAnsi="Bookman Old Style"/>
          <w:sz w:val="24"/>
          <w:szCs w:val="24"/>
        </w:rPr>
        <w:t>terpidana dan mantan</w:t>
      </w:r>
      <w:r w:rsidR="001D2D9D" w:rsidRPr="00A34E88">
        <w:rPr>
          <w:rFonts w:ascii="Bookman Old Style" w:hAnsi="Bookman Old Style"/>
          <w:sz w:val="24"/>
          <w:szCs w:val="24"/>
        </w:rPr>
        <w:t xml:space="preserve"> terpidana yang disandang oleh seseorang namun delik yang dilakukan tidak lagi dianggap sebagai tindak pidana, </w:t>
      </w:r>
      <w:r w:rsidR="00555B76" w:rsidRPr="00A34E88">
        <w:rPr>
          <w:rFonts w:ascii="Bookman Old Style" w:hAnsi="Bookman Old Style"/>
          <w:sz w:val="24"/>
          <w:szCs w:val="24"/>
        </w:rPr>
        <w:t>sudah tentu harus mendapat</w:t>
      </w:r>
      <w:r w:rsidR="001D2D9D" w:rsidRPr="00A34E88">
        <w:rPr>
          <w:rFonts w:ascii="Bookman Old Style" w:hAnsi="Bookman Old Style"/>
          <w:sz w:val="24"/>
          <w:szCs w:val="24"/>
        </w:rPr>
        <w:t xml:space="preserve"> perhatian khusus. Tulisan ini mengangkat isu </w:t>
      </w:r>
      <w:r w:rsidR="00967016" w:rsidRPr="00A34E88">
        <w:rPr>
          <w:rFonts w:ascii="Bookman Old Style" w:hAnsi="Bookman Old Style"/>
          <w:sz w:val="24"/>
          <w:szCs w:val="24"/>
        </w:rPr>
        <w:t>Keadilan bagi Terpidana dan mantan terpidana atas delik yang dilakukan bukan lagi menjadi delik hukum</w:t>
      </w:r>
      <w:r w:rsidR="001530B5" w:rsidRPr="00A34E88">
        <w:rPr>
          <w:rFonts w:ascii="Bookman Old Style" w:hAnsi="Bookman Old Style"/>
          <w:sz w:val="24"/>
          <w:szCs w:val="24"/>
        </w:rPr>
        <w:t>. Metode yang digunakan  yaitu secara Normatif berdasarkan pendekatan Kepustakaan.</w:t>
      </w:r>
    </w:p>
    <w:p w:rsidR="004B1C63" w:rsidRPr="00A34E88" w:rsidRDefault="004B1C63" w:rsidP="00BE227A">
      <w:pPr>
        <w:spacing w:after="0"/>
        <w:jc w:val="both"/>
        <w:rPr>
          <w:rFonts w:ascii="Bookman Old Style" w:hAnsi="Bookman Old Style"/>
          <w:sz w:val="24"/>
          <w:szCs w:val="24"/>
        </w:rPr>
      </w:pPr>
    </w:p>
    <w:p w:rsidR="004B1C63" w:rsidRPr="00A34E88" w:rsidRDefault="004B1C63" w:rsidP="00BE227A">
      <w:pPr>
        <w:spacing w:after="0"/>
        <w:jc w:val="both"/>
        <w:rPr>
          <w:rFonts w:ascii="Bookman Old Style" w:hAnsi="Bookman Old Style"/>
          <w:b/>
          <w:sz w:val="24"/>
          <w:szCs w:val="24"/>
        </w:rPr>
      </w:pPr>
      <w:r w:rsidRPr="00A34E88">
        <w:rPr>
          <w:rFonts w:ascii="Bookman Old Style" w:hAnsi="Bookman Old Style"/>
          <w:b/>
          <w:sz w:val="24"/>
          <w:szCs w:val="24"/>
        </w:rPr>
        <w:t xml:space="preserve">Kata kunci : </w:t>
      </w:r>
      <w:r w:rsidR="00EC7EF6" w:rsidRPr="00EC7EF6">
        <w:rPr>
          <w:rFonts w:ascii="Bookman Old Style" w:hAnsi="Bookman Old Style"/>
          <w:b/>
          <w:sz w:val="24"/>
          <w:szCs w:val="24"/>
        </w:rPr>
        <w:t>Dekriminalisasi</w:t>
      </w:r>
      <w:r w:rsidRPr="00A34E88">
        <w:rPr>
          <w:rFonts w:ascii="Bookman Old Style" w:hAnsi="Bookman Old Style"/>
          <w:b/>
          <w:sz w:val="24"/>
          <w:szCs w:val="24"/>
        </w:rPr>
        <w:t>, Delik, Terpidana, dan Mantan Terpidana</w:t>
      </w:r>
    </w:p>
    <w:p w:rsidR="004B1C63" w:rsidRPr="00A34E88" w:rsidRDefault="004B1C63" w:rsidP="00BE227A">
      <w:pPr>
        <w:spacing w:after="0"/>
        <w:jc w:val="both"/>
        <w:rPr>
          <w:rFonts w:ascii="Bookman Old Style" w:hAnsi="Bookman Old Style"/>
          <w:b/>
          <w:sz w:val="24"/>
          <w:szCs w:val="24"/>
        </w:rPr>
      </w:pPr>
    </w:p>
    <w:p w:rsidR="004B1C63" w:rsidRPr="00A34E88" w:rsidRDefault="004B1C63" w:rsidP="00C97A86">
      <w:pPr>
        <w:pStyle w:val="ListParagraph"/>
        <w:numPr>
          <w:ilvl w:val="0"/>
          <w:numId w:val="1"/>
        </w:numPr>
        <w:spacing w:after="0"/>
        <w:jc w:val="both"/>
        <w:rPr>
          <w:rFonts w:ascii="Bookman Old Style" w:hAnsi="Bookman Old Style"/>
          <w:b/>
          <w:sz w:val="24"/>
          <w:szCs w:val="24"/>
        </w:rPr>
      </w:pPr>
      <w:r w:rsidRPr="00A34E88">
        <w:rPr>
          <w:rFonts w:ascii="Bookman Old Style" w:hAnsi="Bookman Old Style"/>
          <w:b/>
          <w:sz w:val="24"/>
          <w:szCs w:val="24"/>
        </w:rPr>
        <w:t>PENDAHULUAN</w:t>
      </w:r>
    </w:p>
    <w:p w:rsidR="00A34E88" w:rsidRPr="00A34E88" w:rsidRDefault="00A34E88" w:rsidP="00A34E88">
      <w:pPr>
        <w:pStyle w:val="ListParagraph"/>
        <w:spacing w:after="0"/>
        <w:jc w:val="both"/>
        <w:rPr>
          <w:rFonts w:ascii="Bookman Old Style" w:hAnsi="Bookman Old Style"/>
          <w:b/>
          <w:sz w:val="24"/>
          <w:szCs w:val="24"/>
        </w:rPr>
      </w:pPr>
    </w:p>
    <w:p w:rsidR="00F607CE" w:rsidRPr="00A34E88" w:rsidRDefault="00912FD2" w:rsidP="00BE227A">
      <w:pPr>
        <w:spacing w:after="0"/>
        <w:jc w:val="both"/>
        <w:rPr>
          <w:rFonts w:ascii="Bookman Old Style" w:hAnsi="Bookman Old Style"/>
          <w:sz w:val="24"/>
          <w:szCs w:val="24"/>
        </w:rPr>
      </w:pPr>
      <w:r w:rsidRPr="00A34E88">
        <w:rPr>
          <w:rFonts w:ascii="Bookman Old Style" w:hAnsi="Bookman Old Style"/>
          <w:sz w:val="24"/>
          <w:szCs w:val="24"/>
        </w:rPr>
        <w:tab/>
      </w:r>
      <w:r w:rsidR="006844F9" w:rsidRPr="00A34E88">
        <w:rPr>
          <w:rFonts w:ascii="Bookman Old Style" w:hAnsi="Bookman Old Style"/>
          <w:sz w:val="24"/>
          <w:szCs w:val="24"/>
        </w:rPr>
        <w:t xml:space="preserve">Hukum adalah rangkaian peraturan mengenai tingkah laku individu sebagai anggota masyarakat, sedangkan satu-satunya tujuan dari hukum adalah mengadakan keselamatan, kebahagiaan dan tata tertib di dalam masyarakat. </w:t>
      </w:r>
      <w:r w:rsidRPr="00A34E88">
        <w:rPr>
          <w:rFonts w:ascii="Bookman Old Style" w:hAnsi="Bookman Old Style"/>
          <w:sz w:val="24"/>
          <w:szCs w:val="24"/>
        </w:rPr>
        <w:t>Keadaan masyaraka</w:t>
      </w:r>
      <w:r w:rsidR="006D21EF" w:rsidRPr="00A34E88">
        <w:rPr>
          <w:rFonts w:ascii="Bookman Old Style" w:hAnsi="Bookman Old Style"/>
          <w:sz w:val="24"/>
          <w:szCs w:val="24"/>
        </w:rPr>
        <w:t>t</w:t>
      </w:r>
      <w:r w:rsidRPr="00A34E88">
        <w:rPr>
          <w:rFonts w:ascii="Bookman Old Style" w:hAnsi="Bookman Old Style"/>
          <w:sz w:val="24"/>
          <w:szCs w:val="24"/>
        </w:rPr>
        <w:t xml:space="preserve"> yang senantiasa bersifat dinamis menjadi keharusan bagi hukum untuk mengikuti perkembangan masyarakat.</w:t>
      </w:r>
    </w:p>
    <w:p w:rsidR="00F607CE" w:rsidRDefault="00F607CE" w:rsidP="00BE227A">
      <w:pPr>
        <w:spacing w:after="0"/>
        <w:jc w:val="both"/>
        <w:rPr>
          <w:rFonts w:ascii="Bookman Old Style" w:hAnsi="Bookman Old Style"/>
          <w:sz w:val="24"/>
          <w:szCs w:val="24"/>
        </w:rPr>
      </w:pPr>
      <w:r w:rsidRPr="00A34E88">
        <w:rPr>
          <w:rFonts w:ascii="Bookman Old Style" w:hAnsi="Bookman Old Style"/>
          <w:sz w:val="24"/>
          <w:szCs w:val="24"/>
        </w:rPr>
        <w:tab/>
        <w:t xml:space="preserve">Sejak dahulu hingga sekarang, para sarjana hukum saling berbeda pendapat mengenai masalah mengapa suatu kejahatan harus ditanggapi dengan suatu pidana. </w:t>
      </w:r>
      <w:r w:rsidR="00DB355C">
        <w:rPr>
          <w:rFonts w:ascii="Bookman Old Style" w:hAnsi="Bookman Old Style"/>
          <w:sz w:val="24"/>
          <w:szCs w:val="24"/>
        </w:rPr>
        <w:t>(</w:t>
      </w:r>
      <w:r w:rsidR="00DB355C" w:rsidRPr="00233D80">
        <w:rPr>
          <w:rFonts w:ascii="Bookman Old Style" w:hAnsi="Bookman Old Style"/>
          <w:sz w:val="24"/>
          <w:szCs w:val="24"/>
        </w:rPr>
        <w:t>Wirjono Prodjodikoro , 2003 : 14).</w:t>
      </w:r>
      <w:r w:rsidR="00DB355C">
        <w:rPr>
          <w:rFonts w:ascii="Bookman Old Style" w:hAnsi="Bookman Old Style"/>
          <w:sz w:val="24"/>
          <w:szCs w:val="24"/>
        </w:rPr>
        <w:t xml:space="preserve">  </w:t>
      </w:r>
      <w:r w:rsidRPr="00A34E88">
        <w:rPr>
          <w:rFonts w:ascii="Bookman Old Style" w:hAnsi="Bookman Old Style"/>
          <w:sz w:val="24"/>
          <w:szCs w:val="24"/>
        </w:rPr>
        <w:t xml:space="preserve">Apa yang kini dinamakan “kejahatan” adalah pelanggaran dari norma-norma yang disebut sebagai unsur pokok kesatu dari hukum pidana. </w:t>
      </w:r>
      <w:r w:rsidR="00DB355C" w:rsidRPr="00233D80">
        <w:rPr>
          <w:rFonts w:ascii="Bookman Old Style" w:hAnsi="Bookman Old Style"/>
          <w:sz w:val="24"/>
          <w:szCs w:val="24"/>
        </w:rPr>
        <w:t>(</w:t>
      </w:r>
      <w:r w:rsidR="00830268" w:rsidRPr="00233D80">
        <w:rPr>
          <w:rFonts w:ascii="Bookman Old Style" w:hAnsi="Bookman Old Style"/>
          <w:sz w:val="24"/>
          <w:szCs w:val="24"/>
        </w:rPr>
        <w:t>Ibid</w:t>
      </w:r>
      <w:r w:rsidR="00DB355C" w:rsidRPr="00233D80">
        <w:rPr>
          <w:rFonts w:ascii="Bookman Old Style" w:hAnsi="Bookman Old Style"/>
          <w:sz w:val="24"/>
          <w:szCs w:val="24"/>
        </w:rPr>
        <w:t xml:space="preserve"> , 2003 : 14).</w:t>
      </w:r>
      <w:r w:rsidR="00DB355C">
        <w:rPr>
          <w:rFonts w:ascii="Bookman Old Style" w:hAnsi="Bookman Old Style"/>
          <w:sz w:val="24"/>
          <w:szCs w:val="24"/>
        </w:rPr>
        <w:t xml:space="preserve"> </w:t>
      </w:r>
      <w:r w:rsidR="0098433A" w:rsidRPr="00A34E88">
        <w:rPr>
          <w:rFonts w:ascii="Bookman Old Style" w:hAnsi="Bookman Old Style"/>
          <w:sz w:val="24"/>
          <w:szCs w:val="24"/>
        </w:rPr>
        <w:t>Pendapat mengemukakan bahwa kejahatan itu diibarat</w:t>
      </w:r>
      <w:r w:rsidR="0066165D">
        <w:rPr>
          <w:rFonts w:ascii="Bookman Old Style" w:hAnsi="Bookman Old Style"/>
          <w:sz w:val="24"/>
          <w:szCs w:val="24"/>
        </w:rPr>
        <w:t>kan sebagai penghisap energi su</w:t>
      </w:r>
      <w:r w:rsidR="0098433A" w:rsidRPr="00A34E88">
        <w:rPr>
          <w:rFonts w:ascii="Bookman Old Style" w:hAnsi="Bookman Old Style"/>
          <w:sz w:val="24"/>
          <w:szCs w:val="24"/>
        </w:rPr>
        <w:t>a</w:t>
      </w:r>
      <w:r w:rsidR="0066165D">
        <w:rPr>
          <w:rFonts w:ascii="Bookman Old Style" w:hAnsi="Bookman Old Style"/>
          <w:sz w:val="24"/>
          <w:szCs w:val="24"/>
        </w:rPr>
        <w:t>t</w:t>
      </w:r>
      <w:r w:rsidR="0098433A" w:rsidRPr="00A34E88">
        <w:rPr>
          <w:rFonts w:ascii="Bookman Old Style" w:hAnsi="Bookman Old Style"/>
          <w:sz w:val="24"/>
          <w:szCs w:val="24"/>
        </w:rPr>
        <w:t>u bangsa. Hal ini diakibatkan karena kejahatan mengakibatkan kerugian bagi masyarakat, kelancaran produksi terganggu, perasaan orang menjadi cemas dan tidak dapat tenang bekerja dan lain sebagainya. Namun, suatu masyarakat yang kuat tentu mempunyai daya tahan yang cukup terhadap kejahatan baik itu dilakukan oleh warganya maupun oleh orang luar. Tidak ada satupun negara yang sunyi dari kejahatan, apakah itu negara sedang berkembang ataupun negara yang sudah berkembang. Namun begitu tidaklah berarti bahwa terhadap kejahatan tidak perlu dilakukan usaha-usaha penanggulangan. Salah satu cara untuk menanggulangi kejahatan ialah dengan hukum pidana. Fungsi penganggulangan kejahatan ini merupakan fungsi primer dari hukum pidana. Dari hukum pidana diharapkan, bahwa hukum pidana dapat melindungi masyarakat terhadap bahaya yang timbul oleh orang yang melakukan kejahatan. Dengan demikian hukum pidana harus pula sesuai dengan sifat dan corak dari k</w:t>
      </w:r>
      <w:r w:rsidR="006238FF">
        <w:rPr>
          <w:rFonts w:ascii="Bookman Old Style" w:hAnsi="Bookman Old Style"/>
          <w:sz w:val="24"/>
          <w:szCs w:val="24"/>
        </w:rPr>
        <w:t>ejahatan yang tentu menampakkan</w:t>
      </w:r>
      <w:r w:rsidR="0098433A" w:rsidRPr="00A34E88">
        <w:rPr>
          <w:rFonts w:ascii="Bookman Old Style" w:hAnsi="Bookman Old Style"/>
          <w:sz w:val="24"/>
          <w:szCs w:val="24"/>
        </w:rPr>
        <w:t xml:space="preserve"> diri sesuai dengan perkembangan masyarakat.</w:t>
      </w:r>
      <w:r w:rsidR="00DB355C">
        <w:rPr>
          <w:rFonts w:ascii="Bookman Old Style" w:hAnsi="Bookman Old Style"/>
          <w:sz w:val="24"/>
          <w:szCs w:val="24"/>
        </w:rPr>
        <w:t xml:space="preserve"> (</w:t>
      </w:r>
      <w:r w:rsidR="00DB355C" w:rsidRPr="00DB355C">
        <w:rPr>
          <w:rFonts w:ascii="Bookman Old Style" w:hAnsi="Bookman Old Style"/>
          <w:sz w:val="24"/>
        </w:rPr>
        <w:t>Sudarto</w:t>
      </w:r>
      <w:r w:rsidR="00EC7EF6">
        <w:rPr>
          <w:rFonts w:ascii="Bookman Old Style" w:hAnsi="Bookman Old Style"/>
          <w:sz w:val="24"/>
        </w:rPr>
        <w:t>, 1983</w:t>
      </w:r>
      <w:r w:rsidR="00DB355C">
        <w:rPr>
          <w:rFonts w:ascii="Bookman Old Style" w:hAnsi="Bookman Old Style"/>
          <w:sz w:val="24"/>
        </w:rPr>
        <w:t>:43)</w:t>
      </w:r>
    </w:p>
    <w:p w:rsidR="006238FF" w:rsidRDefault="006238FF" w:rsidP="00BE227A">
      <w:pPr>
        <w:spacing w:after="0"/>
        <w:jc w:val="both"/>
        <w:rPr>
          <w:rFonts w:ascii="Bookman Old Style" w:hAnsi="Bookman Old Style"/>
          <w:sz w:val="24"/>
          <w:szCs w:val="24"/>
        </w:rPr>
      </w:pPr>
      <w:r>
        <w:rPr>
          <w:rFonts w:ascii="Bookman Old Style" w:hAnsi="Bookman Old Style"/>
          <w:sz w:val="24"/>
          <w:szCs w:val="24"/>
        </w:rPr>
        <w:tab/>
        <w:t xml:space="preserve">Kejahatan senantiasa berkembang sesuai dengan perkembangan zaman. </w:t>
      </w:r>
      <w:r w:rsidR="00DB355C">
        <w:rPr>
          <w:rFonts w:ascii="Bookman Old Style" w:hAnsi="Bookman Old Style"/>
          <w:sz w:val="24"/>
          <w:szCs w:val="24"/>
        </w:rPr>
        <w:t xml:space="preserve">bahkan perkembangan tersebut dapat dilihat bahwa </w:t>
      </w:r>
      <w:r>
        <w:rPr>
          <w:rFonts w:ascii="Bookman Old Style" w:hAnsi="Bookman Old Style"/>
          <w:sz w:val="24"/>
          <w:szCs w:val="24"/>
        </w:rPr>
        <w:t>tindakan yang sebelumnya bukan merupakan kejahatan kemudian menjadi kejahatan, atau suatu tindakan kejahatan yang sebelumnya ancaman pidana</w:t>
      </w:r>
      <w:r w:rsidR="0041680A">
        <w:rPr>
          <w:rFonts w:ascii="Bookman Old Style" w:hAnsi="Bookman Old Style"/>
          <w:sz w:val="24"/>
          <w:szCs w:val="24"/>
        </w:rPr>
        <w:t>n</w:t>
      </w:r>
      <w:r>
        <w:rPr>
          <w:rFonts w:ascii="Bookman Old Style" w:hAnsi="Bookman Old Style"/>
          <w:sz w:val="24"/>
          <w:szCs w:val="24"/>
        </w:rPr>
        <w:t>ya rendah lalu</w:t>
      </w:r>
      <w:r w:rsidR="0041680A">
        <w:rPr>
          <w:rFonts w:ascii="Bookman Old Style" w:hAnsi="Bookman Old Style"/>
          <w:sz w:val="24"/>
          <w:szCs w:val="24"/>
        </w:rPr>
        <w:t xml:space="preserve"> </w:t>
      </w:r>
      <w:r>
        <w:rPr>
          <w:rFonts w:ascii="Bookman Old Style" w:hAnsi="Bookman Old Style"/>
          <w:sz w:val="24"/>
          <w:szCs w:val="24"/>
        </w:rPr>
        <w:t xml:space="preserve">meningkat </w:t>
      </w:r>
      <w:r w:rsidR="0041680A">
        <w:rPr>
          <w:rFonts w:ascii="Bookman Old Style" w:hAnsi="Bookman Old Style"/>
          <w:sz w:val="24"/>
          <w:szCs w:val="24"/>
        </w:rPr>
        <w:t xml:space="preserve">kedua peristiwa ini disebut </w:t>
      </w:r>
      <w:r>
        <w:rPr>
          <w:rFonts w:ascii="Bookman Old Style" w:hAnsi="Bookman Old Style"/>
          <w:sz w:val="24"/>
          <w:szCs w:val="24"/>
        </w:rPr>
        <w:t xml:space="preserve">dengan istilah </w:t>
      </w:r>
      <w:r w:rsidR="00EC7EF6" w:rsidRPr="00EC7EF6">
        <w:rPr>
          <w:rFonts w:ascii="Bookman Old Style" w:hAnsi="Bookman Old Style"/>
          <w:i/>
          <w:sz w:val="24"/>
          <w:szCs w:val="24"/>
        </w:rPr>
        <w:t>kriminalisasi</w:t>
      </w:r>
      <w:r>
        <w:rPr>
          <w:rFonts w:ascii="Bookman Old Style" w:hAnsi="Bookman Old Style"/>
          <w:sz w:val="24"/>
          <w:szCs w:val="24"/>
        </w:rPr>
        <w:t xml:space="preserve">. Begitu pula sebaliknya, sebuah tindakan yang sebelumnya merupakan tindak pidana kemudian mengalami perubahan menjadi tindakan yang bukan lagi sebuah tindak pidana atau dikenal dengan istilah </w:t>
      </w:r>
      <w:r w:rsidR="00EC7EF6" w:rsidRPr="00EC7EF6">
        <w:rPr>
          <w:rFonts w:ascii="Bookman Old Style" w:hAnsi="Bookman Old Style"/>
          <w:i/>
          <w:sz w:val="24"/>
          <w:szCs w:val="24"/>
        </w:rPr>
        <w:t>dekriminalisasi</w:t>
      </w:r>
      <w:r>
        <w:rPr>
          <w:rFonts w:ascii="Bookman Old Style" w:hAnsi="Bookman Old Style"/>
          <w:sz w:val="24"/>
          <w:szCs w:val="24"/>
        </w:rPr>
        <w:t>.</w:t>
      </w:r>
      <w:r w:rsidR="0041680A">
        <w:rPr>
          <w:rFonts w:ascii="Bookman Old Style" w:hAnsi="Bookman Old Style"/>
          <w:sz w:val="24"/>
          <w:szCs w:val="24"/>
        </w:rPr>
        <w:t xml:space="preserve"> Perubahan </w:t>
      </w:r>
      <w:r w:rsidR="00EC7EF6" w:rsidRPr="00EC7EF6">
        <w:rPr>
          <w:rFonts w:ascii="Bookman Old Style" w:hAnsi="Bookman Old Style"/>
          <w:i/>
          <w:sz w:val="24"/>
          <w:szCs w:val="24"/>
        </w:rPr>
        <w:t>kriminalisasi</w:t>
      </w:r>
      <w:r w:rsidR="0041680A">
        <w:rPr>
          <w:rFonts w:ascii="Bookman Old Style" w:hAnsi="Bookman Old Style"/>
          <w:sz w:val="24"/>
          <w:szCs w:val="24"/>
        </w:rPr>
        <w:t xml:space="preserve"> maupun </w:t>
      </w:r>
      <w:r w:rsidR="00EC7EF6" w:rsidRPr="00EC7EF6">
        <w:rPr>
          <w:rFonts w:ascii="Bookman Old Style" w:hAnsi="Bookman Old Style"/>
          <w:i/>
          <w:sz w:val="24"/>
          <w:szCs w:val="24"/>
        </w:rPr>
        <w:t>dekriminalisasi</w:t>
      </w:r>
      <w:r w:rsidR="0041680A">
        <w:rPr>
          <w:rFonts w:ascii="Bookman Old Style" w:hAnsi="Bookman Old Style"/>
          <w:sz w:val="24"/>
          <w:szCs w:val="24"/>
        </w:rPr>
        <w:t xml:space="preserve"> pada sebuah delik dianggap sebagai perkembangan hukum pidana. </w:t>
      </w:r>
    </w:p>
    <w:p w:rsidR="00141715" w:rsidRDefault="00066297" w:rsidP="00141715">
      <w:pPr>
        <w:spacing w:after="0"/>
        <w:jc w:val="both"/>
        <w:rPr>
          <w:rFonts w:ascii="Bookman Old Style" w:hAnsi="Bookman Old Style"/>
          <w:sz w:val="24"/>
          <w:szCs w:val="24"/>
        </w:rPr>
      </w:pPr>
      <w:r>
        <w:rPr>
          <w:rFonts w:ascii="Bookman Old Style" w:hAnsi="Bookman Old Style"/>
          <w:sz w:val="24"/>
          <w:szCs w:val="24"/>
        </w:rPr>
        <w:tab/>
      </w:r>
      <w:r w:rsidR="00141715">
        <w:rPr>
          <w:rFonts w:ascii="Bookman Old Style" w:hAnsi="Bookman Old Style"/>
          <w:sz w:val="24"/>
          <w:szCs w:val="24"/>
        </w:rPr>
        <w:t xml:space="preserve">Dekriminalisasi merupakan sebuah pengakuan negara bahwa tindakan yang dulu dianggap sebagai delik menjadi tindakan yang bukan lagi dianggap delik. Dekriminalisasi erat kaitannya dengan </w:t>
      </w:r>
      <w:r w:rsidR="00141715">
        <w:rPr>
          <w:rFonts w:ascii="Bookman Old Style" w:hAnsi="Bookman Old Style"/>
          <w:i/>
          <w:sz w:val="24"/>
          <w:szCs w:val="24"/>
        </w:rPr>
        <w:t>strafbaar feit.</w:t>
      </w:r>
      <w:r w:rsidR="00141715">
        <w:rPr>
          <w:rFonts w:ascii="Bookman Old Style" w:hAnsi="Bookman Old Style"/>
          <w:sz w:val="24"/>
          <w:szCs w:val="24"/>
        </w:rPr>
        <w:t xml:space="preserve">  Menurut Simons (Hazewinkel-Suringa, 1973:65) , bahwa </w:t>
      </w:r>
      <w:r w:rsidR="00141715">
        <w:rPr>
          <w:rFonts w:ascii="Bookman Old Style" w:hAnsi="Bookman Old Style"/>
          <w:i/>
          <w:sz w:val="24"/>
          <w:szCs w:val="24"/>
        </w:rPr>
        <w:t xml:space="preserve">strafbaar feit </w:t>
      </w:r>
      <w:r w:rsidR="00141715">
        <w:rPr>
          <w:rFonts w:ascii="Bookman Old Style" w:hAnsi="Bookman Old Style"/>
          <w:sz w:val="24"/>
          <w:szCs w:val="24"/>
        </w:rPr>
        <w:t xml:space="preserve">(terhemahan harafiah : peristiwa pidana) ialah pebuatan melawan hukum yang berkaitan dengan kesalahan </w:t>
      </w:r>
      <w:r w:rsidR="00141715">
        <w:rPr>
          <w:rFonts w:ascii="Bookman Old Style" w:hAnsi="Bookman Old Style"/>
          <w:i/>
          <w:sz w:val="24"/>
          <w:szCs w:val="24"/>
        </w:rPr>
        <w:t xml:space="preserve">(schuld) </w:t>
      </w:r>
      <w:r w:rsidR="00141715">
        <w:rPr>
          <w:rFonts w:ascii="Bookman Old Style" w:hAnsi="Bookman Old Style"/>
          <w:sz w:val="24"/>
          <w:szCs w:val="24"/>
        </w:rPr>
        <w:t xml:space="preserve"> seseorang yang mampu bertanggungjawab. Kesalahan yang dimaksud oleh Simons ialah kesalahan dalam arti luas yang meliputi </w:t>
      </w:r>
      <w:r w:rsidR="00141715">
        <w:rPr>
          <w:rFonts w:ascii="Bookman Old Style" w:hAnsi="Bookman Old Style"/>
          <w:i/>
          <w:sz w:val="24"/>
          <w:szCs w:val="24"/>
        </w:rPr>
        <w:t xml:space="preserve">dolus </w:t>
      </w:r>
      <w:r w:rsidR="00141715">
        <w:rPr>
          <w:rFonts w:ascii="Bookman Old Style" w:hAnsi="Bookman Old Style"/>
          <w:sz w:val="24"/>
          <w:szCs w:val="24"/>
        </w:rPr>
        <w:t xml:space="preserve">(sengaja) dan </w:t>
      </w:r>
      <w:r w:rsidR="00141715">
        <w:rPr>
          <w:rFonts w:ascii="Bookman Old Style" w:hAnsi="Bookman Old Style"/>
          <w:i/>
          <w:sz w:val="24"/>
          <w:szCs w:val="24"/>
        </w:rPr>
        <w:t>culpa late</w:t>
      </w:r>
      <w:r w:rsidR="00141715">
        <w:rPr>
          <w:rFonts w:ascii="Bookman Old Style" w:hAnsi="Bookman Old Style"/>
          <w:sz w:val="24"/>
          <w:szCs w:val="24"/>
        </w:rPr>
        <w:t xml:space="preserve"> (alpa atau lalai). Dalam rumus tersebut simon memasukan unsur – unsur pebuatan pidana </w:t>
      </w:r>
      <w:r w:rsidR="00141715">
        <w:rPr>
          <w:rFonts w:ascii="Bookman Old Style" w:hAnsi="Bookman Old Style"/>
          <w:i/>
          <w:sz w:val="24"/>
          <w:szCs w:val="24"/>
        </w:rPr>
        <w:t xml:space="preserve">(criminal act) </w:t>
      </w:r>
      <w:r w:rsidR="00141715">
        <w:rPr>
          <w:rFonts w:ascii="Bookman Old Style" w:hAnsi="Bookman Old Style"/>
          <w:sz w:val="24"/>
          <w:szCs w:val="24"/>
        </w:rPr>
        <w:t xml:space="preserve"> yang meliputi perbuatan dan sifat melawan hukum perbuatan dan pertanggungjawaban pidana </w:t>
      </w:r>
      <w:r w:rsidR="00141715">
        <w:rPr>
          <w:rFonts w:ascii="Bookman Old Style" w:hAnsi="Bookman Old Style"/>
          <w:i/>
          <w:sz w:val="24"/>
          <w:szCs w:val="24"/>
        </w:rPr>
        <w:t xml:space="preserve">(criminal liability) </w:t>
      </w:r>
      <w:r w:rsidR="00141715">
        <w:rPr>
          <w:rFonts w:ascii="Bookman Old Style" w:hAnsi="Bookman Old Style"/>
          <w:sz w:val="24"/>
          <w:szCs w:val="24"/>
        </w:rPr>
        <w:t xml:space="preserve"> yang mencakup kesengajaan, kealpaan serta kelalaian dan kemampuan bertanggungjawab. </w:t>
      </w:r>
    </w:p>
    <w:p w:rsidR="00141715" w:rsidRPr="00CD2EEA" w:rsidRDefault="00141715" w:rsidP="00141715">
      <w:pPr>
        <w:spacing w:after="0"/>
        <w:jc w:val="both"/>
        <w:rPr>
          <w:rFonts w:ascii="Bookman Old Style" w:hAnsi="Bookman Old Style"/>
          <w:i/>
          <w:sz w:val="24"/>
          <w:szCs w:val="24"/>
        </w:rPr>
      </w:pPr>
      <w:r>
        <w:rPr>
          <w:rFonts w:ascii="Bookman Old Style" w:hAnsi="Bookman Old Style"/>
          <w:sz w:val="24"/>
          <w:szCs w:val="24"/>
        </w:rPr>
        <w:tab/>
        <w:t xml:space="preserve">Van Hamel (1927:169) menguraikan </w:t>
      </w:r>
      <w:r>
        <w:rPr>
          <w:rFonts w:ascii="Bookman Old Style" w:hAnsi="Bookman Old Style"/>
          <w:i/>
          <w:sz w:val="24"/>
          <w:szCs w:val="24"/>
        </w:rPr>
        <w:t>strafbaar feit</w:t>
      </w:r>
      <w:r>
        <w:rPr>
          <w:rFonts w:ascii="Bookman Old Style" w:hAnsi="Bookman Old Style"/>
          <w:sz w:val="24"/>
          <w:szCs w:val="24"/>
        </w:rPr>
        <w:t xml:space="preserve"> sebagai perbuatan manusia yang diuraikan oleh undang-undang, melawan hukum, </w:t>
      </w:r>
      <w:r>
        <w:rPr>
          <w:rFonts w:ascii="Bookman Old Style" w:hAnsi="Bookman Old Style"/>
          <w:i/>
          <w:sz w:val="24"/>
          <w:szCs w:val="24"/>
        </w:rPr>
        <w:t xml:space="preserve">strafwaardig </w:t>
      </w:r>
      <w:r>
        <w:rPr>
          <w:rFonts w:ascii="Bookman Old Style" w:hAnsi="Bookman Old Style"/>
          <w:sz w:val="24"/>
          <w:szCs w:val="24"/>
        </w:rPr>
        <w:t>(patut atau bernilai dipidana) dan dapat dicela karena kesalahan</w:t>
      </w:r>
      <w:r>
        <w:rPr>
          <w:rFonts w:ascii="Bookman Old Style" w:hAnsi="Bookman Old Style"/>
          <w:i/>
          <w:sz w:val="24"/>
          <w:szCs w:val="24"/>
        </w:rPr>
        <w:t xml:space="preserve"> (en aan schuld te wijten). </w:t>
      </w:r>
      <w:r>
        <w:rPr>
          <w:rFonts w:ascii="Bookman Old Style" w:hAnsi="Bookman Old Style"/>
          <w:sz w:val="24"/>
          <w:szCs w:val="24"/>
        </w:rPr>
        <w:t xml:space="preserve">Unsur </w:t>
      </w:r>
      <w:r>
        <w:rPr>
          <w:rFonts w:ascii="Bookman Old Style" w:hAnsi="Bookman Old Style"/>
          <w:i/>
          <w:sz w:val="24"/>
          <w:szCs w:val="24"/>
        </w:rPr>
        <w:t xml:space="preserve"> strafbaar feit</w:t>
      </w:r>
      <w:r>
        <w:rPr>
          <w:rFonts w:ascii="Bookman Old Style" w:hAnsi="Bookman Old Style"/>
          <w:sz w:val="24"/>
          <w:szCs w:val="24"/>
        </w:rPr>
        <w:t xml:space="preserve"> menurut Van Hamel meliputi perbuatan dan perbuatan itu ditentukan oleh hukum pidana tertulis (asas legalitas). </w:t>
      </w:r>
      <w:r w:rsidR="00A235B9">
        <w:rPr>
          <w:rFonts w:ascii="Bookman Old Style" w:hAnsi="Bookman Old Style"/>
          <w:sz w:val="24"/>
          <w:szCs w:val="24"/>
        </w:rPr>
        <w:t xml:space="preserve">Dalam hukum pidana tertulis di Indonesia menjelaskan </w:t>
      </w:r>
      <w:r w:rsidR="00567E27">
        <w:rPr>
          <w:rFonts w:ascii="Bookman Old Style" w:hAnsi="Bookman Old Style"/>
          <w:sz w:val="24"/>
          <w:szCs w:val="24"/>
        </w:rPr>
        <w:t xml:space="preserve">bila aturan hukum positif menganulir sebuah peristiwa pidana seperti beberapa pasal yang dicabut dalam KUHP dan dianggap bukan lagi peristiwa pidana maka berlakulah </w:t>
      </w:r>
      <w:r w:rsidR="00A235B9">
        <w:rPr>
          <w:rFonts w:ascii="Bookman Old Style" w:hAnsi="Bookman Old Style"/>
          <w:sz w:val="24"/>
          <w:szCs w:val="24"/>
        </w:rPr>
        <w:t xml:space="preserve">Pasal </w:t>
      </w:r>
      <w:r w:rsidR="00567E27">
        <w:rPr>
          <w:rFonts w:ascii="Bookman Old Style" w:hAnsi="Bookman Old Style"/>
          <w:sz w:val="24"/>
          <w:szCs w:val="24"/>
        </w:rPr>
        <w:t xml:space="preserve">1 ayat (2) KUHP. </w:t>
      </w:r>
    </w:p>
    <w:p w:rsidR="00141715" w:rsidRPr="00567E27" w:rsidRDefault="00141715" w:rsidP="00E463CF">
      <w:pPr>
        <w:spacing w:after="0"/>
        <w:ind w:firstLine="720"/>
        <w:jc w:val="both"/>
        <w:rPr>
          <w:rFonts w:ascii="Bookman Old Style" w:hAnsi="Bookman Old Style"/>
          <w:sz w:val="24"/>
          <w:szCs w:val="24"/>
        </w:rPr>
      </w:pPr>
      <w:r>
        <w:rPr>
          <w:rFonts w:ascii="Bookman Old Style" w:hAnsi="Bookman Old Style"/>
          <w:sz w:val="24"/>
          <w:szCs w:val="24"/>
        </w:rPr>
        <w:t xml:space="preserve">Menarik untuk diteliti adalah kebijakan ius constitum atau ius operandum dalam hal pemberlakuan </w:t>
      </w:r>
      <w:r w:rsidRPr="00EC7EF6">
        <w:rPr>
          <w:rFonts w:ascii="Bookman Old Style" w:hAnsi="Bookman Old Style"/>
          <w:i/>
          <w:sz w:val="24"/>
          <w:szCs w:val="24"/>
        </w:rPr>
        <w:t>dekriminalisasi</w:t>
      </w:r>
      <w:r>
        <w:rPr>
          <w:rFonts w:ascii="Bookman Old Style" w:hAnsi="Bookman Old Style"/>
          <w:sz w:val="24"/>
          <w:szCs w:val="24"/>
        </w:rPr>
        <w:t xml:space="preserve"> terhadap suatu delik. Pada asas </w:t>
      </w:r>
      <w:r w:rsidR="00567E27">
        <w:rPr>
          <w:rFonts w:ascii="Bookman Old Style" w:hAnsi="Bookman Old Style"/>
          <w:sz w:val="24"/>
          <w:szCs w:val="24"/>
        </w:rPr>
        <w:t xml:space="preserve">yang tersirat dalam pasal 1 ayat (2) KUHP </w:t>
      </w:r>
      <w:r>
        <w:rPr>
          <w:rFonts w:ascii="Bookman Old Style" w:hAnsi="Bookman Old Style"/>
          <w:sz w:val="24"/>
          <w:szCs w:val="24"/>
        </w:rPr>
        <w:t xml:space="preserve"> jelas  diketahui bahwa bila ada perubahan peraturan perundang-undangan setelah perbuatan dilakukan, maka yang diberlakukan adalah peraturan yang menguntungkan bagi terdakwa. Namun keberadaan pasal ini tidak menjangkau bagi mereka terpidana atau mantan terpidana.</w:t>
      </w:r>
      <w:r w:rsidR="00567E27">
        <w:rPr>
          <w:rFonts w:ascii="Bookman Old Style" w:hAnsi="Bookman Old Style"/>
          <w:sz w:val="24"/>
          <w:szCs w:val="24"/>
        </w:rPr>
        <w:t xml:space="preserve"> Dekriminalisasi yang terjadi, menggeser kedudukan sebuah peristiwa hukum yang sebelumnya dianggap sebagai </w:t>
      </w:r>
      <w:r w:rsidR="00567E27">
        <w:rPr>
          <w:rFonts w:ascii="Bookman Old Style" w:hAnsi="Bookman Old Style"/>
          <w:i/>
          <w:sz w:val="24"/>
          <w:szCs w:val="24"/>
        </w:rPr>
        <w:t xml:space="preserve">strafbaat feit </w:t>
      </w:r>
      <w:r w:rsidR="00567E27">
        <w:rPr>
          <w:rFonts w:ascii="Bookman Old Style" w:hAnsi="Bookman Old Style"/>
          <w:sz w:val="24"/>
          <w:szCs w:val="24"/>
        </w:rPr>
        <w:t xml:space="preserve"> menjadi peristiwa biasa</w:t>
      </w:r>
      <w:r w:rsidR="00C649FB">
        <w:rPr>
          <w:rFonts w:ascii="Bookman Old Style" w:hAnsi="Bookman Old Style"/>
          <w:sz w:val="24"/>
          <w:szCs w:val="24"/>
        </w:rPr>
        <w:t xml:space="preserve"> seperti pada pasal 154 dan pasal 155 KUHP</w:t>
      </w:r>
      <w:r w:rsidR="00567E27">
        <w:rPr>
          <w:rFonts w:ascii="Bookman Old Style" w:hAnsi="Bookman Old Style"/>
          <w:sz w:val="24"/>
          <w:szCs w:val="24"/>
        </w:rPr>
        <w:t xml:space="preserve">. </w:t>
      </w:r>
      <w:r w:rsidR="00DF55CF">
        <w:rPr>
          <w:rFonts w:ascii="Bookman Old Style" w:hAnsi="Bookman Old Style"/>
          <w:sz w:val="24"/>
          <w:szCs w:val="24"/>
        </w:rPr>
        <w:t>Perubahan yang terjadi inilah perlu</w:t>
      </w:r>
      <w:r w:rsidR="00567E27">
        <w:rPr>
          <w:rFonts w:ascii="Bookman Old Style" w:hAnsi="Bookman Old Style"/>
          <w:sz w:val="24"/>
          <w:szCs w:val="24"/>
        </w:rPr>
        <w:t xml:space="preserve"> memikirkan keadilan terhadap terpidana dan mantan terpidana terhadap delik yang mengalami dekriminalisasi.</w:t>
      </w:r>
    </w:p>
    <w:p w:rsidR="00CD2EEA" w:rsidRPr="00CD2EEA" w:rsidRDefault="00CD2EEA" w:rsidP="00141715">
      <w:pPr>
        <w:spacing w:after="0"/>
        <w:jc w:val="both"/>
        <w:rPr>
          <w:rFonts w:ascii="Bookman Old Style" w:hAnsi="Bookman Old Style"/>
          <w:i/>
          <w:sz w:val="24"/>
          <w:szCs w:val="24"/>
        </w:rPr>
      </w:pPr>
    </w:p>
    <w:p w:rsidR="00A34E88" w:rsidRDefault="00A34E88" w:rsidP="00BE227A">
      <w:pPr>
        <w:pStyle w:val="ListParagraph"/>
        <w:numPr>
          <w:ilvl w:val="0"/>
          <w:numId w:val="1"/>
        </w:numPr>
        <w:spacing w:after="0"/>
        <w:jc w:val="both"/>
        <w:rPr>
          <w:rFonts w:ascii="Bookman Old Style" w:hAnsi="Bookman Old Style"/>
          <w:b/>
          <w:sz w:val="24"/>
          <w:szCs w:val="24"/>
        </w:rPr>
      </w:pPr>
      <w:r w:rsidRPr="00A34E88">
        <w:rPr>
          <w:rFonts w:ascii="Bookman Old Style" w:hAnsi="Bookman Old Style"/>
          <w:b/>
          <w:sz w:val="24"/>
          <w:szCs w:val="24"/>
        </w:rPr>
        <w:t>KAJIAN TEORI</w:t>
      </w:r>
    </w:p>
    <w:p w:rsidR="00E463CF" w:rsidRDefault="00E463CF" w:rsidP="00E463CF">
      <w:pPr>
        <w:pStyle w:val="ListParagraph"/>
        <w:spacing w:after="0"/>
        <w:jc w:val="both"/>
        <w:rPr>
          <w:rFonts w:ascii="Bookman Old Style" w:hAnsi="Bookman Old Style"/>
          <w:b/>
          <w:sz w:val="24"/>
          <w:szCs w:val="24"/>
        </w:rPr>
      </w:pPr>
    </w:p>
    <w:p w:rsidR="00EC7EF6" w:rsidRDefault="00EC5563" w:rsidP="00E463CF">
      <w:pPr>
        <w:pStyle w:val="ListParagraph"/>
        <w:tabs>
          <w:tab w:val="left" w:pos="709"/>
        </w:tabs>
        <w:spacing w:after="0"/>
        <w:ind w:left="0"/>
        <w:jc w:val="both"/>
        <w:rPr>
          <w:rFonts w:ascii="Bookman Old Style" w:hAnsi="Bookman Old Style"/>
          <w:sz w:val="24"/>
          <w:szCs w:val="24"/>
        </w:rPr>
      </w:pPr>
      <w:r>
        <w:rPr>
          <w:rFonts w:ascii="Bookman Old Style" w:hAnsi="Bookman Old Style"/>
          <w:sz w:val="24"/>
          <w:szCs w:val="24"/>
        </w:rPr>
        <w:tab/>
        <w:t>Berikut para tokoh yang memiliki pandangan terhadap keadilan yakni:</w:t>
      </w:r>
    </w:p>
    <w:p w:rsidR="00EC5563" w:rsidRDefault="00EC5563" w:rsidP="00E463CF">
      <w:pPr>
        <w:pStyle w:val="ListParagraph"/>
        <w:numPr>
          <w:ilvl w:val="2"/>
          <w:numId w:val="4"/>
        </w:numPr>
        <w:tabs>
          <w:tab w:val="left" w:pos="1442"/>
        </w:tabs>
        <w:spacing w:after="0"/>
        <w:ind w:left="567" w:hanging="284"/>
        <w:jc w:val="both"/>
        <w:rPr>
          <w:rFonts w:ascii="Bookman Old Style" w:hAnsi="Bookman Old Style"/>
          <w:sz w:val="24"/>
          <w:szCs w:val="24"/>
        </w:rPr>
      </w:pPr>
      <w:r>
        <w:rPr>
          <w:rFonts w:ascii="Bookman Old Style" w:hAnsi="Bookman Old Style"/>
          <w:sz w:val="24"/>
          <w:szCs w:val="24"/>
        </w:rPr>
        <w:t xml:space="preserve">Aristoteles </w:t>
      </w:r>
    </w:p>
    <w:p w:rsidR="00EC5563" w:rsidRDefault="00EC5563" w:rsidP="00E463CF">
      <w:pPr>
        <w:pStyle w:val="ListParagraph"/>
        <w:tabs>
          <w:tab w:val="left" w:pos="567"/>
        </w:tabs>
        <w:spacing w:after="0"/>
        <w:ind w:left="0"/>
        <w:jc w:val="both"/>
        <w:rPr>
          <w:rFonts w:ascii="Bookman Old Style" w:hAnsi="Bookman Old Style"/>
          <w:sz w:val="24"/>
          <w:szCs w:val="24"/>
        </w:rPr>
      </w:pPr>
      <w:r>
        <w:rPr>
          <w:rFonts w:ascii="Bookman Old Style" w:hAnsi="Bookman Old Style"/>
          <w:sz w:val="24"/>
          <w:szCs w:val="24"/>
        </w:rPr>
        <w:tab/>
        <w:t xml:space="preserve">Pendapat aristoteles tentang keadilan </w:t>
      </w:r>
      <w:r w:rsidR="00050AEF">
        <w:rPr>
          <w:rFonts w:ascii="Bookman Old Style" w:hAnsi="Bookman Old Style"/>
          <w:sz w:val="24"/>
          <w:szCs w:val="24"/>
        </w:rPr>
        <w:t xml:space="preserve">yaitu </w:t>
      </w:r>
      <w:r>
        <w:rPr>
          <w:rFonts w:ascii="Bookman Old Style" w:hAnsi="Bookman Old Style"/>
          <w:sz w:val="24"/>
          <w:szCs w:val="24"/>
        </w:rPr>
        <w:t xml:space="preserve"> </w:t>
      </w:r>
      <w:r w:rsidR="00050AEF">
        <w:rPr>
          <w:rFonts w:ascii="Bookman Old Style" w:hAnsi="Bookman Old Style"/>
          <w:sz w:val="24"/>
          <w:szCs w:val="24"/>
        </w:rPr>
        <w:t xml:space="preserve">pertama </w:t>
      </w:r>
      <w:r>
        <w:rPr>
          <w:rFonts w:ascii="Bookman Old Style" w:hAnsi="Bookman Old Style"/>
          <w:sz w:val="24"/>
          <w:szCs w:val="24"/>
        </w:rPr>
        <w:t xml:space="preserve">keadilan dalam arti umum dimana keadilan </w:t>
      </w:r>
      <w:r w:rsidR="00050AEF">
        <w:rPr>
          <w:rFonts w:ascii="Bookman Old Style" w:hAnsi="Bookman Old Style"/>
          <w:sz w:val="24"/>
          <w:szCs w:val="24"/>
        </w:rPr>
        <w:t xml:space="preserve">erat kaitannya dengan kepatuhan terhadap hukum. Kedua keadilan dalam artian khusus. Keadilan dalam artian khusus terbagi menjadi beberapa kategori  yakni (1) keadilan adalah titik tengah atau proporsi; (2) keadilan sebagai perbaikan </w:t>
      </w:r>
      <w:r w:rsidR="00050AEF">
        <w:rPr>
          <w:rFonts w:ascii="Bookman Old Style" w:hAnsi="Bookman Old Style"/>
          <w:i/>
          <w:sz w:val="24"/>
          <w:szCs w:val="24"/>
        </w:rPr>
        <w:t xml:space="preserve">(rectification). </w:t>
      </w:r>
      <w:r w:rsidR="00050AEF">
        <w:rPr>
          <w:rFonts w:ascii="Bookman Old Style" w:hAnsi="Bookman Old Style"/>
          <w:sz w:val="24"/>
          <w:szCs w:val="24"/>
        </w:rPr>
        <w:t>Ketika hukum mengemukakan hal general, namun kasus tertentu hadir dan tidak terdapat dalam hukum tersebut, maka disinilah peran dari keadilan untuk memperbaiki kesalah</w:t>
      </w:r>
      <w:r w:rsidR="00A31042">
        <w:rPr>
          <w:rFonts w:ascii="Bookman Old Style" w:hAnsi="Bookman Old Style"/>
          <w:sz w:val="24"/>
          <w:szCs w:val="24"/>
        </w:rPr>
        <w:t>an</w:t>
      </w:r>
      <w:r w:rsidR="00050AEF">
        <w:rPr>
          <w:rFonts w:ascii="Bookman Old Style" w:hAnsi="Bookman Old Style"/>
          <w:sz w:val="24"/>
          <w:szCs w:val="24"/>
        </w:rPr>
        <w:t xml:space="preserve"> tersebut. </w:t>
      </w:r>
    </w:p>
    <w:p w:rsidR="00050AEF" w:rsidRDefault="00050AEF" w:rsidP="00E463CF">
      <w:pPr>
        <w:pStyle w:val="ListParagraph"/>
        <w:numPr>
          <w:ilvl w:val="2"/>
          <w:numId w:val="4"/>
        </w:numPr>
        <w:tabs>
          <w:tab w:val="left" w:pos="1442"/>
        </w:tabs>
        <w:spacing w:after="0"/>
        <w:ind w:left="567" w:hanging="283"/>
        <w:jc w:val="both"/>
        <w:rPr>
          <w:rFonts w:ascii="Bookman Old Style" w:hAnsi="Bookman Old Style"/>
          <w:sz w:val="24"/>
          <w:szCs w:val="24"/>
        </w:rPr>
      </w:pPr>
      <w:r>
        <w:rPr>
          <w:rFonts w:ascii="Bookman Old Style" w:hAnsi="Bookman Old Style"/>
          <w:sz w:val="24"/>
          <w:szCs w:val="24"/>
        </w:rPr>
        <w:t>Jhon Rawls</w:t>
      </w:r>
    </w:p>
    <w:p w:rsidR="00050AEF" w:rsidRDefault="00E463CF" w:rsidP="00E463CF">
      <w:pPr>
        <w:pStyle w:val="ListParagraph"/>
        <w:tabs>
          <w:tab w:val="left" w:pos="567"/>
        </w:tabs>
        <w:spacing w:after="0"/>
        <w:ind w:left="0" w:firstLine="284"/>
        <w:jc w:val="both"/>
        <w:rPr>
          <w:rFonts w:ascii="Bookman Old Style" w:hAnsi="Bookman Old Style"/>
          <w:sz w:val="24"/>
          <w:szCs w:val="24"/>
        </w:rPr>
      </w:pPr>
      <w:r>
        <w:rPr>
          <w:rFonts w:ascii="Bookman Old Style" w:hAnsi="Bookman Old Style"/>
          <w:sz w:val="24"/>
          <w:szCs w:val="24"/>
        </w:rPr>
        <w:tab/>
      </w:r>
      <w:r w:rsidR="00050AEF">
        <w:rPr>
          <w:rFonts w:ascii="Bookman Old Style" w:hAnsi="Bookman Old Style"/>
          <w:sz w:val="24"/>
          <w:szCs w:val="24"/>
        </w:rPr>
        <w:t>John Rawls berpendapat bahwa struktur masyarakat ideal yang adil adalah struktur dasar masyarakah asli dimana hak-hak dasa, kebebasa, kekuasaan, kewibawaan, kesempatan, pendapatan dan kesejahteraan terpenuhi.</w:t>
      </w:r>
      <w:r w:rsidR="009F0282" w:rsidRPr="009F0282">
        <w:rPr>
          <w:rFonts w:ascii="Bookman Old Style" w:hAnsi="Bookman Old Style"/>
          <w:sz w:val="24"/>
          <w:szCs w:val="24"/>
        </w:rPr>
        <w:t xml:space="preserve"> </w:t>
      </w:r>
      <w:r w:rsidR="009F0282">
        <w:rPr>
          <w:rFonts w:ascii="Bookman Old Style" w:hAnsi="Bookman Old Style"/>
          <w:sz w:val="24"/>
          <w:szCs w:val="24"/>
        </w:rPr>
        <w:t>(Damanhuri Fattah, 2013:31)</w:t>
      </w:r>
    </w:p>
    <w:p w:rsidR="00E463CF" w:rsidRPr="00050AEF" w:rsidRDefault="00E463CF" w:rsidP="00050AEF">
      <w:pPr>
        <w:pStyle w:val="ListParagraph"/>
        <w:tabs>
          <w:tab w:val="left" w:pos="1134"/>
        </w:tabs>
        <w:spacing w:after="0"/>
        <w:ind w:left="1134" w:firstLine="284"/>
        <w:jc w:val="both"/>
        <w:rPr>
          <w:rFonts w:ascii="Bookman Old Style" w:hAnsi="Bookman Old Style"/>
          <w:sz w:val="24"/>
          <w:szCs w:val="24"/>
        </w:rPr>
      </w:pPr>
    </w:p>
    <w:p w:rsidR="00E463CF" w:rsidRDefault="00E463CF" w:rsidP="009D63D9">
      <w:pPr>
        <w:pStyle w:val="ListParagraph"/>
        <w:tabs>
          <w:tab w:val="left" w:pos="0"/>
        </w:tabs>
        <w:spacing w:after="0"/>
        <w:ind w:left="0" w:firstLine="567"/>
        <w:jc w:val="both"/>
        <w:rPr>
          <w:rFonts w:ascii="Bookman Old Style" w:hAnsi="Bookman Old Style"/>
          <w:sz w:val="24"/>
          <w:szCs w:val="24"/>
        </w:rPr>
      </w:pPr>
      <w:r>
        <w:rPr>
          <w:rFonts w:ascii="Bookman Old Style" w:hAnsi="Bookman Old Style"/>
          <w:sz w:val="24"/>
          <w:szCs w:val="24"/>
        </w:rPr>
        <w:t xml:space="preserve">Sudarto (Muladi, Barda Nawawi Arief, 2010:2) </w:t>
      </w:r>
      <w:r w:rsidR="009D63D9">
        <w:rPr>
          <w:rFonts w:ascii="Bookman Old Style" w:hAnsi="Bookman Old Style"/>
          <w:sz w:val="24"/>
          <w:szCs w:val="24"/>
        </w:rPr>
        <w:t xml:space="preserve">berpendapat bahwa pidana adalah penderitaan yang dibebankan kepada orang yang melakukan perbuatan melalui syarat-syarat tertentu. Syarat tertentu yang dimaksud adalah syarat yang ditentukan oleh </w:t>
      </w:r>
      <w:r w:rsidR="009D63D9">
        <w:rPr>
          <w:rFonts w:ascii="Bookman Old Style" w:hAnsi="Bookman Old Style"/>
          <w:i/>
          <w:sz w:val="24"/>
          <w:szCs w:val="24"/>
        </w:rPr>
        <w:t>ius constitutum</w:t>
      </w:r>
      <w:r w:rsidR="009D63D9">
        <w:rPr>
          <w:rFonts w:ascii="Bookman Old Style" w:hAnsi="Bookman Old Style"/>
          <w:sz w:val="24"/>
          <w:szCs w:val="24"/>
        </w:rPr>
        <w:t>. Roeslan Saleh dalam buku yang sama mengungkapkan pidana adalah reaksi atas delik dan ini berujud suatu nestapa yang dengan sengaja ditimpakan negara kepada pembuat delik itu.</w:t>
      </w:r>
      <w:r w:rsidR="00014F61">
        <w:rPr>
          <w:rFonts w:ascii="Bookman Old Style" w:hAnsi="Bookman Old Style"/>
          <w:sz w:val="24"/>
          <w:szCs w:val="24"/>
        </w:rPr>
        <w:t xml:space="preserve"> </w:t>
      </w:r>
    </w:p>
    <w:p w:rsidR="00014F61" w:rsidRDefault="00014F61" w:rsidP="009D63D9">
      <w:pPr>
        <w:pStyle w:val="ListParagraph"/>
        <w:tabs>
          <w:tab w:val="left" w:pos="0"/>
        </w:tabs>
        <w:spacing w:after="0"/>
        <w:ind w:left="0" w:firstLine="567"/>
        <w:jc w:val="both"/>
        <w:rPr>
          <w:rFonts w:ascii="Bookman Old Style" w:hAnsi="Bookman Old Style"/>
          <w:sz w:val="24"/>
          <w:szCs w:val="24"/>
        </w:rPr>
      </w:pPr>
      <w:r>
        <w:rPr>
          <w:rFonts w:ascii="Bookman Old Style" w:hAnsi="Bookman Old Style"/>
          <w:sz w:val="24"/>
          <w:szCs w:val="24"/>
        </w:rPr>
        <w:t>Pidana mengandung unsur atau ciri sebagai berikut :</w:t>
      </w:r>
    </w:p>
    <w:p w:rsidR="00014F61" w:rsidRDefault="00014F61" w:rsidP="00014F61">
      <w:pPr>
        <w:pStyle w:val="ListParagraph"/>
        <w:numPr>
          <w:ilvl w:val="0"/>
          <w:numId w:val="5"/>
        </w:numPr>
        <w:tabs>
          <w:tab w:val="left" w:pos="0"/>
        </w:tabs>
        <w:spacing w:after="0"/>
        <w:ind w:left="851"/>
        <w:jc w:val="both"/>
        <w:rPr>
          <w:rFonts w:ascii="Bookman Old Style" w:hAnsi="Bookman Old Style"/>
          <w:sz w:val="24"/>
          <w:szCs w:val="24"/>
        </w:rPr>
      </w:pPr>
      <w:r>
        <w:rPr>
          <w:rFonts w:ascii="Bookman Old Style" w:hAnsi="Bookman Old Style"/>
          <w:sz w:val="24"/>
          <w:szCs w:val="24"/>
        </w:rPr>
        <w:t>Pidana itu pada hakikatnya merupakan suatu pengenaan penderitaan atau nestapa atau akibat-akibat lain yang tidak menyenangkan;</w:t>
      </w:r>
    </w:p>
    <w:p w:rsidR="00014F61" w:rsidRDefault="00014F61" w:rsidP="00014F61">
      <w:pPr>
        <w:pStyle w:val="ListParagraph"/>
        <w:numPr>
          <w:ilvl w:val="0"/>
          <w:numId w:val="5"/>
        </w:numPr>
        <w:tabs>
          <w:tab w:val="left" w:pos="0"/>
        </w:tabs>
        <w:spacing w:after="0"/>
        <w:ind w:left="851"/>
        <w:jc w:val="both"/>
        <w:rPr>
          <w:rFonts w:ascii="Bookman Old Style" w:hAnsi="Bookman Old Style"/>
          <w:sz w:val="24"/>
          <w:szCs w:val="24"/>
        </w:rPr>
      </w:pPr>
      <w:r>
        <w:rPr>
          <w:rFonts w:ascii="Bookman Old Style" w:hAnsi="Bookman Old Style"/>
          <w:sz w:val="24"/>
          <w:szCs w:val="24"/>
        </w:rPr>
        <w:t>Pidana itu diberikan dengan sengaja oleh orang atau badan yang mempunyai kekuasaan (oleh yang berwenang);</w:t>
      </w:r>
    </w:p>
    <w:p w:rsidR="00014F61" w:rsidRPr="009D63D9" w:rsidRDefault="00014F61" w:rsidP="00014F61">
      <w:pPr>
        <w:pStyle w:val="ListParagraph"/>
        <w:numPr>
          <w:ilvl w:val="0"/>
          <w:numId w:val="5"/>
        </w:numPr>
        <w:tabs>
          <w:tab w:val="left" w:pos="0"/>
        </w:tabs>
        <w:spacing w:after="0"/>
        <w:ind w:left="851"/>
        <w:jc w:val="both"/>
        <w:rPr>
          <w:rFonts w:ascii="Bookman Old Style" w:hAnsi="Bookman Old Style"/>
          <w:sz w:val="24"/>
          <w:szCs w:val="24"/>
        </w:rPr>
      </w:pPr>
      <w:r>
        <w:rPr>
          <w:rFonts w:ascii="Bookman Old Style" w:hAnsi="Bookman Old Style"/>
          <w:sz w:val="24"/>
          <w:szCs w:val="24"/>
        </w:rPr>
        <w:t>Pidana itu dikenakan kepada seseorang yang telah melakukan tindak pidana menurut undang-undang. (Muladi, Barda Nawawi Arief, 2010:4)</w:t>
      </w:r>
    </w:p>
    <w:p w:rsidR="00E463CF" w:rsidRDefault="00E463CF" w:rsidP="00E463CF">
      <w:pPr>
        <w:pStyle w:val="ListParagraph"/>
        <w:tabs>
          <w:tab w:val="left" w:pos="1134"/>
        </w:tabs>
        <w:spacing w:after="0"/>
        <w:ind w:left="993"/>
        <w:jc w:val="both"/>
        <w:rPr>
          <w:rFonts w:ascii="Bookman Old Style" w:hAnsi="Bookman Old Style"/>
          <w:b/>
          <w:sz w:val="24"/>
          <w:szCs w:val="24"/>
        </w:rPr>
      </w:pPr>
    </w:p>
    <w:p w:rsidR="00861C2B" w:rsidRDefault="00A31042" w:rsidP="00861C2B">
      <w:pPr>
        <w:pStyle w:val="ListParagraph"/>
        <w:spacing w:after="0"/>
        <w:ind w:left="0" w:firstLine="567"/>
        <w:jc w:val="both"/>
        <w:rPr>
          <w:rFonts w:ascii="Bookman Old Style" w:hAnsi="Bookman Old Style"/>
          <w:sz w:val="24"/>
          <w:szCs w:val="24"/>
        </w:rPr>
      </w:pPr>
      <w:r>
        <w:rPr>
          <w:rFonts w:ascii="Bookman Old Style" w:hAnsi="Bookman Old Style"/>
          <w:sz w:val="24"/>
          <w:szCs w:val="24"/>
        </w:rPr>
        <w:t xml:space="preserve">Moeljatno (2015:61) berpendapat bahwa untuk mengetahui bahwa istilah perbuatan pidana atau tindak pidana dapat disamakan dengan </w:t>
      </w:r>
      <w:r>
        <w:rPr>
          <w:rFonts w:ascii="Bookman Old Style" w:hAnsi="Bookman Old Style"/>
          <w:i/>
          <w:sz w:val="24"/>
          <w:szCs w:val="24"/>
        </w:rPr>
        <w:t>strafbaar feit</w:t>
      </w:r>
      <w:r>
        <w:rPr>
          <w:rFonts w:ascii="Bookman Old Style" w:hAnsi="Bookman Old Style"/>
          <w:sz w:val="24"/>
          <w:szCs w:val="24"/>
        </w:rPr>
        <w:t xml:space="preserve"> </w:t>
      </w:r>
      <w:r w:rsidR="00EC2BD9">
        <w:rPr>
          <w:rFonts w:ascii="Bookman Old Style" w:hAnsi="Bookman Old Style"/>
          <w:sz w:val="24"/>
          <w:szCs w:val="24"/>
        </w:rPr>
        <w:t xml:space="preserve">maka perlu diartikan secara rinci. Simnons menerangkan bahwa </w:t>
      </w:r>
      <w:r w:rsidR="00EC2BD9">
        <w:rPr>
          <w:rFonts w:ascii="Bookman Old Style" w:hAnsi="Bookman Old Style"/>
          <w:i/>
          <w:sz w:val="24"/>
          <w:szCs w:val="24"/>
        </w:rPr>
        <w:t xml:space="preserve">strafbaar feit </w:t>
      </w:r>
      <w:r w:rsidR="00EC2BD9" w:rsidRPr="00EC2BD9">
        <w:rPr>
          <w:rFonts w:ascii="Bookman Old Style" w:hAnsi="Bookman Old Style"/>
          <w:sz w:val="24"/>
          <w:szCs w:val="24"/>
        </w:rPr>
        <w:t>adalah kelakuan</w:t>
      </w:r>
      <w:r w:rsidR="00EC2BD9">
        <w:rPr>
          <w:rFonts w:ascii="Bookman Old Style" w:hAnsi="Bookman Old Style"/>
          <w:i/>
          <w:sz w:val="24"/>
          <w:szCs w:val="24"/>
        </w:rPr>
        <w:t xml:space="preserve"> </w:t>
      </w:r>
      <w:r w:rsidR="00EC2BD9">
        <w:rPr>
          <w:rFonts w:ascii="Bookman Old Style" w:hAnsi="Bookman Old Style"/>
          <w:sz w:val="24"/>
          <w:szCs w:val="24"/>
        </w:rPr>
        <w:t>(</w:t>
      </w:r>
      <w:r w:rsidR="00EC2BD9" w:rsidRPr="00EC2BD9">
        <w:rPr>
          <w:rFonts w:ascii="Bookman Old Style" w:hAnsi="Bookman Old Style"/>
          <w:i/>
          <w:sz w:val="24"/>
          <w:szCs w:val="24"/>
        </w:rPr>
        <w:t>handeling</w:t>
      </w:r>
      <w:r w:rsidR="00EC2BD9">
        <w:rPr>
          <w:rFonts w:ascii="Bookman Old Style" w:hAnsi="Bookman Old Style"/>
          <w:sz w:val="24"/>
          <w:szCs w:val="24"/>
        </w:rPr>
        <w:t xml:space="preserve">) yang diancam dengan pidana, yang bersifat melawan hukum, berhubungan dengan kesalahan dan dilakukan oleh oran gyang mampu bertanggung jawab. Van Hamel merumuskan : </w:t>
      </w:r>
      <w:r w:rsidR="00EC2BD9">
        <w:rPr>
          <w:rFonts w:ascii="Bookman Old Style" w:hAnsi="Bookman Old Style"/>
          <w:i/>
          <w:sz w:val="24"/>
          <w:szCs w:val="24"/>
        </w:rPr>
        <w:t xml:space="preserve">strafbaar feit </w:t>
      </w:r>
      <w:r w:rsidR="00EC2BD9">
        <w:rPr>
          <w:rFonts w:ascii="Bookman Old Style" w:hAnsi="Bookman Old Style"/>
          <w:sz w:val="24"/>
          <w:szCs w:val="24"/>
        </w:rPr>
        <w:t xml:space="preserve"> adalah kelakuan orang </w:t>
      </w:r>
      <w:r w:rsidR="00EC2BD9">
        <w:rPr>
          <w:rFonts w:ascii="Bookman Old Style" w:hAnsi="Bookman Old Style"/>
          <w:i/>
          <w:sz w:val="24"/>
          <w:szCs w:val="24"/>
        </w:rPr>
        <w:t xml:space="preserve">(menselijke gedraging) </w:t>
      </w:r>
      <w:r w:rsidR="00EC2BD9">
        <w:rPr>
          <w:rFonts w:ascii="Bookman Old Style" w:hAnsi="Bookman Old Style"/>
          <w:sz w:val="24"/>
          <w:szCs w:val="24"/>
        </w:rPr>
        <w:t xml:space="preserve">dirumuskan dalam </w:t>
      </w:r>
      <w:r w:rsidR="00EC2BD9">
        <w:rPr>
          <w:rFonts w:ascii="Bookman Old Style" w:hAnsi="Bookman Old Style"/>
          <w:i/>
          <w:sz w:val="24"/>
          <w:szCs w:val="24"/>
        </w:rPr>
        <w:t xml:space="preserve">wet, </w:t>
      </w:r>
      <w:r w:rsidR="00EC2BD9">
        <w:rPr>
          <w:rFonts w:ascii="Bookman Old Style" w:hAnsi="Bookman Old Style"/>
          <w:sz w:val="24"/>
          <w:szCs w:val="24"/>
        </w:rPr>
        <w:t xml:space="preserve"> bersifat melawan hukum, patut dipidana  </w:t>
      </w:r>
      <w:r w:rsidR="00EC2BD9">
        <w:rPr>
          <w:rFonts w:ascii="Bookman Old Style" w:hAnsi="Bookman Old Style"/>
          <w:i/>
          <w:sz w:val="24"/>
          <w:szCs w:val="24"/>
        </w:rPr>
        <w:t xml:space="preserve">(strafwaardig) </w:t>
      </w:r>
      <w:r w:rsidR="00EC2BD9">
        <w:rPr>
          <w:rFonts w:ascii="Bookman Old Style" w:hAnsi="Bookman Old Style"/>
          <w:sz w:val="24"/>
          <w:szCs w:val="24"/>
        </w:rPr>
        <w:t xml:space="preserve">dan dilakukan dengan kesalahan. Jika melihat pengertian ini maka diketahui bahwa </w:t>
      </w:r>
      <w:r w:rsidR="00EC2BD9">
        <w:rPr>
          <w:rFonts w:ascii="Bookman Old Style" w:hAnsi="Bookman Old Style"/>
          <w:i/>
          <w:sz w:val="24"/>
          <w:szCs w:val="24"/>
        </w:rPr>
        <w:t xml:space="preserve">feit </w:t>
      </w:r>
      <w:r w:rsidR="00EC2BD9">
        <w:rPr>
          <w:rFonts w:ascii="Bookman Old Style" w:hAnsi="Bookman Old Style"/>
          <w:sz w:val="24"/>
          <w:szCs w:val="24"/>
        </w:rPr>
        <w:t xml:space="preserve">dalam artian </w:t>
      </w:r>
      <w:r w:rsidR="00EC2BD9">
        <w:rPr>
          <w:rFonts w:ascii="Bookman Old Style" w:hAnsi="Bookman Old Style"/>
          <w:i/>
          <w:sz w:val="24"/>
          <w:szCs w:val="24"/>
        </w:rPr>
        <w:t xml:space="preserve">strafbaar feit </w:t>
      </w:r>
      <w:r w:rsidR="00EC2BD9">
        <w:rPr>
          <w:rFonts w:ascii="Bookman Old Style" w:hAnsi="Bookman Old Style"/>
          <w:sz w:val="24"/>
          <w:szCs w:val="24"/>
        </w:rPr>
        <w:t xml:space="preserve"> berarti </w:t>
      </w:r>
      <w:r w:rsidR="00EC2BD9">
        <w:rPr>
          <w:rFonts w:ascii="Bookman Old Style" w:hAnsi="Bookman Old Style"/>
          <w:i/>
          <w:sz w:val="24"/>
          <w:szCs w:val="24"/>
        </w:rPr>
        <w:t xml:space="preserve">handeling, </w:t>
      </w:r>
      <w:r w:rsidR="00EC2BD9">
        <w:rPr>
          <w:rFonts w:ascii="Bookman Old Style" w:hAnsi="Bookman Old Style"/>
          <w:sz w:val="24"/>
          <w:szCs w:val="24"/>
        </w:rPr>
        <w:t xml:space="preserve"> kelakukan atau tingkah laku; dan pengertian </w:t>
      </w:r>
      <w:r w:rsidR="00EC2BD9">
        <w:rPr>
          <w:rFonts w:ascii="Bookman Old Style" w:hAnsi="Bookman Old Style"/>
          <w:i/>
          <w:sz w:val="24"/>
          <w:szCs w:val="24"/>
        </w:rPr>
        <w:t xml:space="preserve">strafbaar feit </w:t>
      </w:r>
      <w:r w:rsidR="00EC2BD9">
        <w:rPr>
          <w:rFonts w:ascii="Bookman Old Style" w:hAnsi="Bookman Old Style"/>
          <w:sz w:val="24"/>
          <w:szCs w:val="24"/>
        </w:rPr>
        <w:t>dihubungkan denga</w:t>
      </w:r>
      <w:r w:rsidR="00861C2B">
        <w:rPr>
          <w:rFonts w:ascii="Bookman Old Style" w:hAnsi="Bookman Old Style"/>
          <w:sz w:val="24"/>
          <w:szCs w:val="24"/>
        </w:rPr>
        <w:t>n</w:t>
      </w:r>
      <w:r w:rsidR="00EC2BD9">
        <w:rPr>
          <w:rFonts w:ascii="Bookman Old Style" w:hAnsi="Bookman Old Style"/>
          <w:sz w:val="24"/>
          <w:szCs w:val="24"/>
        </w:rPr>
        <w:t xml:space="preserve"> kesalahan orang yang mengadakan kelakuan tadi. Mengenai yang pertama, ini berbeda dengan pengertian “perbuatan” dalam perbuatan pidana.</w:t>
      </w:r>
      <w:r w:rsidR="00861C2B">
        <w:rPr>
          <w:rFonts w:ascii="Bookman Old Style" w:hAnsi="Bookman Old Style"/>
          <w:sz w:val="24"/>
          <w:szCs w:val="24"/>
        </w:rPr>
        <w:t xml:space="preserve"> Perbuatan adalah kelakuan + = kejadian yang ditimbulkan oleh kelakuan atau dengan pendek = kelakuan + akibat dan bukan kelakuan saja. </w:t>
      </w:r>
    </w:p>
    <w:p w:rsidR="00A31042" w:rsidRDefault="00861C2B" w:rsidP="00861C2B">
      <w:pPr>
        <w:pStyle w:val="ListParagraph"/>
        <w:spacing w:after="0"/>
        <w:ind w:left="0" w:firstLine="567"/>
        <w:jc w:val="both"/>
        <w:rPr>
          <w:rFonts w:ascii="Bookman Old Style" w:hAnsi="Bookman Old Style"/>
          <w:sz w:val="24"/>
          <w:szCs w:val="24"/>
        </w:rPr>
      </w:pPr>
      <w:r>
        <w:rPr>
          <w:rFonts w:ascii="Bookman Old Style" w:hAnsi="Bookman Old Style"/>
          <w:i/>
          <w:sz w:val="24"/>
          <w:szCs w:val="24"/>
        </w:rPr>
        <w:t xml:space="preserve">Strafbaar feit </w:t>
      </w:r>
      <w:r w:rsidRPr="00861C2B">
        <w:rPr>
          <w:rFonts w:ascii="Bookman Old Style" w:hAnsi="Bookman Old Style"/>
          <w:sz w:val="24"/>
          <w:szCs w:val="24"/>
        </w:rPr>
        <w:t>menurut Simon</w:t>
      </w:r>
      <w:r>
        <w:rPr>
          <w:rFonts w:ascii="Bookman Old Style" w:hAnsi="Bookman Old Style"/>
          <w:sz w:val="24"/>
          <w:szCs w:val="24"/>
        </w:rPr>
        <w:t>s</w:t>
      </w:r>
      <w:r w:rsidRPr="00861C2B">
        <w:rPr>
          <w:rFonts w:ascii="Bookman Old Style" w:hAnsi="Bookman Old Style"/>
          <w:sz w:val="24"/>
          <w:szCs w:val="24"/>
        </w:rPr>
        <w:t xml:space="preserve"> terdiri atas kelakuan dan akibat</w:t>
      </w:r>
      <w:r>
        <w:rPr>
          <w:rFonts w:ascii="Bookman Old Style" w:hAnsi="Bookman Old Style"/>
          <w:sz w:val="24"/>
          <w:szCs w:val="24"/>
        </w:rPr>
        <w:t xml:space="preserve">. Adapun mengenal yang kedua hal itu berbeda dengan “perbuatan pidana” sebab di sini tidak dihubungkan kesalahan yang merupakan pertanggungjawaban pidana bagi orang yang melakukan perbuatan pidana. Perbuatan pidana hanya menunjuk kepada sifatnya perbuatan saja, yaitu sifat dilarang dengan ancaman dengan pidana kalau dilanggar. Jadi perbuatan pidana dipisahkan dari pertanggungjawaban pidana dipisahkan dengan kesalahan . lain halnya dengan </w:t>
      </w:r>
      <w:r>
        <w:rPr>
          <w:rFonts w:ascii="Bookman Old Style" w:hAnsi="Bookman Old Style"/>
          <w:i/>
          <w:sz w:val="24"/>
          <w:szCs w:val="24"/>
        </w:rPr>
        <w:t xml:space="preserve">strafbaar feit, </w:t>
      </w:r>
      <w:r>
        <w:rPr>
          <w:rFonts w:ascii="Bookman Old Style" w:hAnsi="Bookman Old Style"/>
          <w:sz w:val="24"/>
          <w:szCs w:val="24"/>
        </w:rPr>
        <w:t xml:space="preserve">disitu dicakup pengertian perbuatan pidana dan kesalahan. Bahwa untuk pertanggungjawaban pidana tidak cukup dengan dilakukannya perbuatan pidana saja, akan tetapi disamping itu harus ada kesalahan, atau sikap batin yang dapat dicela, ternyata pula dalam asas hukum yang tidak tertulis: tidak dipidana jika tidak ada kesalahan. </w:t>
      </w:r>
      <w:r>
        <w:rPr>
          <w:rFonts w:ascii="Bookman Old Style" w:hAnsi="Bookman Old Style"/>
          <w:i/>
          <w:sz w:val="24"/>
          <w:szCs w:val="24"/>
        </w:rPr>
        <w:t xml:space="preserve"> (Geen straf zonder schuld ohne Schuld keine Strafe). </w:t>
      </w:r>
      <w:r>
        <w:rPr>
          <w:rFonts w:ascii="Bookman Old Style" w:hAnsi="Bookman Old Style"/>
          <w:sz w:val="24"/>
          <w:szCs w:val="24"/>
        </w:rPr>
        <w:t xml:space="preserve">(Moeljatno, 2015 : </w:t>
      </w:r>
      <w:r w:rsidR="00105FDE">
        <w:rPr>
          <w:rFonts w:ascii="Bookman Old Style" w:hAnsi="Bookman Old Style"/>
          <w:sz w:val="24"/>
          <w:szCs w:val="24"/>
        </w:rPr>
        <w:t>62)</w:t>
      </w:r>
    </w:p>
    <w:p w:rsidR="00A235B9" w:rsidRPr="00861C2B" w:rsidRDefault="00A235B9" w:rsidP="00861C2B">
      <w:pPr>
        <w:pStyle w:val="ListParagraph"/>
        <w:spacing w:after="0"/>
        <w:ind w:left="0" w:firstLine="567"/>
        <w:jc w:val="both"/>
        <w:rPr>
          <w:rFonts w:ascii="Bookman Old Style" w:hAnsi="Bookman Old Style"/>
          <w:sz w:val="24"/>
          <w:szCs w:val="24"/>
        </w:rPr>
      </w:pPr>
    </w:p>
    <w:p w:rsidR="00A34E88" w:rsidRDefault="004B1C63" w:rsidP="00BE227A">
      <w:pPr>
        <w:pStyle w:val="ListParagraph"/>
        <w:numPr>
          <w:ilvl w:val="0"/>
          <w:numId w:val="1"/>
        </w:numPr>
        <w:spacing w:after="0"/>
        <w:jc w:val="both"/>
        <w:rPr>
          <w:rFonts w:ascii="Bookman Old Style" w:hAnsi="Bookman Old Style"/>
          <w:b/>
          <w:sz w:val="24"/>
          <w:szCs w:val="24"/>
        </w:rPr>
      </w:pPr>
      <w:r w:rsidRPr="00A34E88">
        <w:rPr>
          <w:rFonts w:ascii="Bookman Old Style" w:hAnsi="Bookman Old Style"/>
          <w:b/>
          <w:sz w:val="24"/>
          <w:szCs w:val="24"/>
        </w:rPr>
        <w:t>METODE PENELITIAN</w:t>
      </w:r>
    </w:p>
    <w:p w:rsidR="00A34E88" w:rsidRDefault="00A34E88" w:rsidP="00A34E88">
      <w:pPr>
        <w:pStyle w:val="ListParagraph"/>
        <w:spacing w:after="0"/>
        <w:jc w:val="both"/>
        <w:rPr>
          <w:rFonts w:ascii="Bookman Old Style" w:hAnsi="Bookman Old Style"/>
          <w:b/>
          <w:sz w:val="24"/>
          <w:szCs w:val="24"/>
        </w:rPr>
      </w:pPr>
    </w:p>
    <w:p w:rsidR="00757A52" w:rsidRPr="00757A52" w:rsidRDefault="00757A52" w:rsidP="00757A52">
      <w:pPr>
        <w:pStyle w:val="BodyText"/>
        <w:spacing w:line="480" w:lineRule="auto"/>
        <w:ind w:firstLine="720"/>
        <w:jc w:val="both"/>
        <w:rPr>
          <w:rFonts w:ascii="Bookman Old Style" w:hAnsi="Bookman Old Style" w:cs="Arial"/>
          <w:b w:val="0"/>
          <w:sz w:val="24"/>
          <w:szCs w:val="24"/>
          <w:lang w:val="sv-SE"/>
        </w:rPr>
      </w:pPr>
      <w:r w:rsidRPr="00757A52">
        <w:rPr>
          <w:rFonts w:ascii="Bookman Old Style" w:hAnsi="Bookman Old Style" w:cs="Arial"/>
          <w:b w:val="0"/>
          <w:sz w:val="24"/>
          <w:szCs w:val="24"/>
          <w:lang w:val="sv-SE"/>
        </w:rPr>
        <w:t>1. Jenis Penelitian</w:t>
      </w:r>
    </w:p>
    <w:p w:rsidR="00757A52" w:rsidRPr="00757A52" w:rsidRDefault="00757A52" w:rsidP="00757A52">
      <w:pPr>
        <w:pStyle w:val="FootnoteText"/>
        <w:spacing w:line="276" w:lineRule="auto"/>
        <w:ind w:firstLine="567"/>
        <w:jc w:val="both"/>
        <w:rPr>
          <w:rFonts w:ascii="Bookman Old Style" w:hAnsi="Bookman Old Style"/>
          <w:sz w:val="24"/>
          <w:szCs w:val="24"/>
        </w:rPr>
      </w:pPr>
      <w:r w:rsidRPr="00757A52">
        <w:rPr>
          <w:rFonts w:ascii="Bookman Old Style" w:hAnsi="Bookman Old Style" w:cs="Arial"/>
          <w:sz w:val="24"/>
          <w:szCs w:val="24"/>
          <w:lang w:val="sv-SE"/>
        </w:rPr>
        <w:t>Mengacu dengan judul dan perumusan masalah, maka penelitian ini  menggunakan metode penelitian bersifat  yuridis normatif,</w:t>
      </w:r>
      <w:r w:rsidRPr="00757A52">
        <w:rPr>
          <w:rFonts w:ascii="Bookman Old Style" w:hAnsi="Bookman Old Style" w:cs="Arial"/>
          <w:sz w:val="24"/>
          <w:szCs w:val="24"/>
        </w:rPr>
        <w:t xml:space="preserve"> </w:t>
      </w:r>
      <w:r w:rsidRPr="00757A52">
        <w:rPr>
          <w:rFonts w:ascii="Bookman Old Style" w:hAnsi="Bookman Old Style" w:cs="Arial"/>
          <w:sz w:val="24"/>
          <w:szCs w:val="24"/>
          <w:lang w:val="sv-SE"/>
        </w:rPr>
        <w:t xml:space="preserve"> atau penelitian kepustakaan, yaitu jenis penelitian yang bertumpu pada sumber data sekunder sebagai data rujukan utama yang terdiri dari bahan hukum primer, bahan hukum sekunder dan bahan hukum tersier. Bahan-bahan tersebut disusun secara sitematis, dikaji, kemudian ditarik suatu kesimpulan dalam hubungannya dengan masalah yang diteliti.</w:t>
      </w:r>
      <w:r w:rsidRPr="00757A52">
        <w:rPr>
          <w:rFonts w:ascii="Bookman Old Style" w:hAnsi="Bookman Old Style"/>
          <w:sz w:val="24"/>
          <w:szCs w:val="24"/>
          <w:lang w:val="it-IT"/>
        </w:rPr>
        <w:t xml:space="preserve">, </w:t>
      </w:r>
      <w:r w:rsidRPr="00757A52">
        <w:rPr>
          <w:rFonts w:ascii="Bookman Old Style" w:hAnsi="Bookman Old Style"/>
          <w:sz w:val="24"/>
          <w:szCs w:val="24"/>
        </w:rPr>
        <w:t xml:space="preserve">Sudarto  </w:t>
      </w:r>
      <w:r w:rsidRPr="00757A52">
        <w:rPr>
          <w:rFonts w:ascii="Bookman Old Style" w:hAnsi="Bookman Old Style"/>
          <w:sz w:val="24"/>
          <w:szCs w:val="24"/>
          <w:lang w:val="it-IT"/>
        </w:rPr>
        <w:t xml:space="preserve">membagi metode Yuridis Normatif dalam dua arti Metode Yuridis dalam Arti sempit dan Metode Yuridis dalam arti Luas. Metode yuridis dalam arti sempit ialah penggunaan metode yang hanya melihat yang logis atau anti logis, ataupun dengan cara lain yang sistematis, di dalam keseluruhan perangkat norma. Sebaliknya apa yang dilihat itu tidak ada hubungannya dengan perangkat norma belaka, tetapi juga bahkan terutama dilihat pentingnya effek sosial dari pembentukan norma-norma, (hukum), sehingga justru dilihat pentingnya latar belakang kemasyarakatanya, maka metode ini tidaklah kurang yuridis pula, ialah yuridis dalam arti luas. </w:t>
      </w:r>
      <w:r w:rsidRPr="00757A52">
        <w:rPr>
          <w:rFonts w:ascii="Bookman Old Style" w:hAnsi="Bookman Old Style" w:cs="Arial"/>
          <w:sz w:val="24"/>
          <w:szCs w:val="24"/>
        </w:rPr>
        <w:t>(</w:t>
      </w:r>
      <w:r w:rsidRPr="00757A52">
        <w:rPr>
          <w:rFonts w:ascii="Bookman Old Style" w:hAnsi="Bookman Old Style"/>
          <w:sz w:val="24"/>
          <w:szCs w:val="24"/>
          <w:lang w:val="it-IT"/>
        </w:rPr>
        <w:t>Barda Nawani Arif</w:t>
      </w:r>
      <w:r w:rsidRPr="00757A52">
        <w:rPr>
          <w:rFonts w:ascii="Bookman Old Style" w:hAnsi="Bookman Old Style"/>
          <w:sz w:val="24"/>
          <w:szCs w:val="24"/>
        </w:rPr>
        <w:t>, 2012 : 2)</w:t>
      </w:r>
    </w:p>
    <w:p w:rsidR="00757A52" w:rsidRPr="00757A52" w:rsidRDefault="00757A52" w:rsidP="00DB608D">
      <w:pPr>
        <w:pStyle w:val="BodyText"/>
        <w:spacing w:line="276" w:lineRule="auto"/>
        <w:ind w:firstLine="602"/>
        <w:jc w:val="both"/>
        <w:rPr>
          <w:rFonts w:ascii="Bookman Old Style" w:hAnsi="Bookman Old Style" w:cs="Arial"/>
          <w:b w:val="0"/>
          <w:sz w:val="24"/>
          <w:szCs w:val="24"/>
        </w:rPr>
      </w:pPr>
      <w:r w:rsidRPr="00757A52">
        <w:rPr>
          <w:rFonts w:ascii="Bookman Old Style" w:hAnsi="Bookman Old Style" w:cs="Arial"/>
          <w:b w:val="0"/>
          <w:sz w:val="24"/>
          <w:szCs w:val="24"/>
          <w:lang w:val="sv-SE"/>
        </w:rPr>
        <w:t>Senada dengan Soerjono Soekanto</w:t>
      </w:r>
      <w:r w:rsidRPr="00757A52">
        <w:rPr>
          <w:rFonts w:ascii="Bookman Old Style" w:hAnsi="Bookman Old Style" w:cs="Arial"/>
          <w:b w:val="0"/>
          <w:sz w:val="24"/>
          <w:szCs w:val="24"/>
          <w:lang w:val="id-ID"/>
        </w:rPr>
        <w:t xml:space="preserve"> (</w:t>
      </w:r>
      <w:r w:rsidRPr="00757A52">
        <w:rPr>
          <w:rFonts w:ascii="Bookman Old Style" w:hAnsi="Bookman Old Style"/>
          <w:b w:val="0"/>
          <w:sz w:val="24"/>
          <w:szCs w:val="24"/>
          <w:lang w:val="it-IT"/>
        </w:rPr>
        <w:t>Soerjono Soekanto dan Sri Mamudji</w:t>
      </w:r>
      <w:r w:rsidRPr="00757A52">
        <w:rPr>
          <w:rFonts w:ascii="Bookman Old Style" w:hAnsi="Bookman Old Style" w:cs="Arial"/>
          <w:b w:val="0"/>
          <w:sz w:val="24"/>
          <w:szCs w:val="24"/>
          <w:lang w:val="id-ID"/>
        </w:rPr>
        <w:t xml:space="preserve">, 1990 : 15) </w:t>
      </w:r>
      <w:r w:rsidRPr="00757A52">
        <w:rPr>
          <w:rFonts w:ascii="Bookman Old Style" w:hAnsi="Bookman Old Style" w:cs="Arial"/>
          <w:b w:val="0"/>
          <w:sz w:val="24"/>
          <w:szCs w:val="24"/>
          <w:lang w:val="sv-SE"/>
        </w:rPr>
        <w:t xml:space="preserve">bahwa penelitian hukum yang dilakukan dengan cara meneliti bahan pustaka atau data sekunder belaka dapat dinamakan penelitian hukum normatif, atau penelitian hukum kepustakaan. </w:t>
      </w:r>
      <w:r w:rsidRPr="00757A52">
        <w:rPr>
          <w:rFonts w:ascii="Bookman Old Style" w:hAnsi="Bookman Old Style" w:cs="Arial"/>
          <w:b w:val="0"/>
          <w:sz w:val="24"/>
          <w:szCs w:val="24"/>
        </w:rPr>
        <w:t>Penelitian hukum normati</w:t>
      </w:r>
      <w:r w:rsidR="0002077D">
        <w:rPr>
          <w:rFonts w:ascii="Bookman Old Style" w:hAnsi="Bookman Old Style" w:cs="Arial"/>
          <w:b w:val="0"/>
          <w:sz w:val="24"/>
          <w:szCs w:val="24"/>
        </w:rPr>
        <w:t>f atau kepustakaan tersebut</w:t>
      </w:r>
      <w:r w:rsidRPr="00757A52">
        <w:rPr>
          <w:rFonts w:ascii="Bookman Old Style" w:hAnsi="Bookman Old Style" w:cs="Arial"/>
          <w:b w:val="0"/>
          <w:sz w:val="24"/>
          <w:szCs w:val="24"/>
        </w:rPr>
        <w:t xml:space="preserve"> meliputi: </w:t>
      </w:r>
    </w:p>
    <w:p w:rsidR="00757A52" w:rsidRPr="00757A52" w:rsidRDefault="00757A52" w:rsidP="00757A52">
      <w:pPr>
        <w:pStyle w:val="BodyText"/>
        <w:numPr>
          <w:ilvl w:val="1"/>
          <w:numId w:val="6"/>
        </w:numPr>
        <w:spacing w:line="276" w:lineRule="auto"/>
        <w:ind w:left="1008"/>
        <w:jc w:val="both"/>
        <w:rPr>
          <w:rFonts w:ascii="Bookman Old Style" w:hAnsi="Bookman Old Style" w:cs="Arial"/>
          <w:b w:val="0"/>
          <w:sz w:val="24"/>
          <w:szCs w:val="24"/>
        </w:rPr>
      </w:pPr>
      <w:r w:rsidRPr="00757A52">
        <w:rPr>
          <w:rFonts w:ascii="Bookman Old Style" w:hAnsi="Bookman Old Style" w:cs="Arial"/>
          <w:b w:val="0"/>
          <w:sz w:val="24"/>
          <w:szCs w:val="24"/>
        </w:rPr>
        <w:t>Penelitian terhadap asas-asas hukum</w:t>
      </w:r>
    </w:p>
    <w:p w:rsidR="00757A52" w:rsidRPr="00757A52" w:rsidRDefault="00757A52" w:rsidP="00757A52">
      <w:pPr>
        <w:pStyle w:val="BodyText"/>
        <w:numPr>
          <w:ilvl w:val="1"/>
          <w:numId w:val="6"/>
        </w:numPr>
        <w:spacing w:line="276" w:lineRule="auto"/>
        <w:ind w:left="1008"/>
        <w:jc w:val="both"/>
        <w:rPr>
          <w:rFonts w:ascii="Bookman Old Style" w:hAnsi="Bookman Old Style" w:cs="Arial"/>
          <w:b w:val="0"/>
          <w:sz w:val="24"/>
          <w:szCs w:val="24"/>
        </w:rPr>
      </w:pPr>
      <w:r w:rsidRPr="00757A52">
        <w:rPr>
          <w:rFonts w:ascii="Bookman Old Style" w:hAnsi="Bookman Old Style" w:cs="Arial"/>
          <w:b w:val="0"/>
          <w:sz w:val="24"/>
          <w:szCs w:val="24"/>
        </w:rPr>
        <w:t>Penelitian hukum terhadap sistematik hukum</w:t>
      </w:r>
    </w:p>
    <w:p w:rsidR="00757A52" w:rsidRPr="00757A52" w:rsidRDefault="00757A52" w:rsidP="00757A52">
      <w:pPr>
        <w:pStyle w:val="BodyText"/>
        <w:numPr>
          <w:ilvl w:val="1"/>
          <w:numId w:val="6"/>
        </w:numPr>
        <w:spacing w:line="276" w:lineRule="auto"/>
        <w:ind w:left="1008"/>
        <w:jc w:val="both"/>
        <w:rPr>
          <w:rFonts w:ascii="Bookman Old Style" w:hAnsi="Bookman Old Style" w:cs="Arial"/>
          <w:b w:val="0"/>
          <w:sz w:val="24"/>
          <w:szCs w:val="24"/>
        </w:rPr>
      </w:pPr>
      <w:r w:rsidRPr="00757A52">
        <w:rPr>
          <w:rFonts w:ascii="Bookman Old Style" w:hAnsi="Bookman Old Style" w:cs="Arial"/>
          <w:b w:val="0"/>
          <w:sz w:val="24"/>
          <w:szCs w:val="24"/>
        </w:rPr>
        <w:t>Perbandingan hukum</w:t>
      </w:r>
    </w:p>
    <w:p w:rsidR="00757A52" w:rsidRPr="00757A52" w:rsidRDefault="00757A52" w:rsidP="00757A52">
      <w:pPr>
        <w:pStyle w:val="BodyText"/>
        <w:numPr>
          <w:ilvl w:val="1"/>
          <w:numId w:val="6"/>
        </w:numPr>
        <w:spacing w:after="240" w:line="276" w:lineRule="auto"/>
        <w:ind w:left="1008"/>
        <w:jc w:val="both"/>
        <w:rPr>
          <w:rFonts w:ascii="Bookman Old Style" w:hAnsi="Bookman Old Style" w:cs="Arial"/>
          <w:b w:val="0"/>
          <w:sz w:val="24"/>
          <w:szCs w:val="24"/>
        </w:rPr>
      </w:pPr>
      <w:r w:rsidRPr="00757A52">
        <w:rPr>
          <w:rFonts w:ascii="Bookman Old Style" w:hAnsi="Bookman Old Style" w:cs="Arial"/>
          <w:b w:val="0"/>
          <w:sz w:val="24"/>
          <w:szCs w:val="24"/>
        </w:rPr>
        <w:t xml:space="preserve">Sejarah hukum </w:t>
      </w:r>
    </w:p>
    <w:p w:rsidR="0002077D" w:rsidRPr="00DB608D" w:rsidRDefault="0002077D" w:rsidP="0002077D">
      <w:pPr>
        <w:pStyle w:val="BodyText"/>
        <w:numPr>
          <w:ilvl w:val="0"/>
          <w:numId w:val="6"/>
        </w:numPr>
        <w:spacing w:line="480" w:lineRule="auto"/>
        <w:ind w:left="1036" w:hanging="316"/>
        <w:jc w:val="both"/>
        <w:rPr>
          <w:rFonts w:ascii="Bookman Old Style" w:hAnsi="Bookman Old Style" w:cs="Arial"/>
          <w:b w:val="0"/>
          <w:sz w:val="24"/>
          <w:szCs w:val="24"/>
        </w:rPr>
      </w:pPr>
      <w:r w:rsidRPr="00DB608D">
        <w:rPr>
          <w:rFonts w:ascii="Bookman Old Style" w:hAnsi="Bookman Old Style" w:cs="Arial"/>
          <w:b w:val="0"/>
          <w:sz w:val="24"/>
          <w:szCs w:val="24"/>
        </w:rPr>
        <w:t xml:space="preserve"> Sifat Penelitian</w:t>
      </w:r>
    </w:p>
    <w:p w:rsidR="0002077D" w:rsidRDefault="0002077D" w:rsidP="00DB608D">
      <w:pPr>
        <w:pStyle w:val="BodyText"/>
        <w:spacing w:after="240" w:line="276" w:lineRule="auto"/>
        <w:ind w:firstLine="588"/>
        <w:jc w:val="both"/>
        <w:rPr>
          <w:rFonts w:ascii="Bookman Old Style" w:hAnsi="Bookman Old Style" w:cs="Arial"/>
          <w:b w:val="0"/>
          <w:sz w:val="24"/>
          <w:szCs w:val="24"/>
          <w:lang w:val="id-ID"/>
        </w:rPr>
      </w:pPr>
      <w:r w:rsidRPr="00DB608D">
        <w:rPr>
          <w:rFonts w:ascii="Bookman Old Style" w:hAnsi="Bookman Old Style" w:cs="Arial"/>
          <w:b w:val="0"/>
          <w:sz w:val="24"/>
          <w:szCs w:val="24"/>
        </w:rPr>
        <w:t>Penelitian hukum ini bersifat deskriptif. Penelitian deskriptif adalah penelitian yang dimaksud untuk memberikan data seteliti mungkin dengan menggambarkan gejala tertentu. “penelitian deskriptif dimaksudkan untuk memberikan data yang seteliti mungkin tentang manusia, keadaan atau gejala-gejala lainnya. Maksudnya adalah untuk mempertegas hipotesa-hipotesa, agar dapat membantu dalam memperkuat teori lama atau dalam kerangka menyusun teori baru”</w:t>
      </w:r>
      <w:r w:rsidR="00F14F07">
        <w:rPr>
          <w:rFonts w:ascii="Bookman Old Style" w:hAnsi="Bookman Old Style" w:cs="Arial"/>
          <w:b w:val="0"/>
          <w:sz w:val="24"/>
          <w:szCs w:val="24"/>
          <w:lang w:val="id-ID"/>
        </w:rPr>
        <w:t>. (</w:t>
      </w:r>
      <w:r w:rsidR="00F14F07" w:rsidRPr="00F14F07">
        <w:rPr>
          <w:rFonts w:ascii="Bookman Old Style" w:hAnsi="Bookman Old Style" w:cs="Arial"/>
          <w:b w:val="0"/>
          <w:sz w:val="24"/>
          <w:szCs w:val="24"/>
          <w:lang w:val="id-ID"/>
        </w:rPr>
        <w:t>Soerjono Soekanto</w:t>
      </w:r>
      <w:r w:rsidR="00F14F07">
        <w:rPr>
          <w:rFonts w:ascii="Bookman Old Style" w:hAnsi="Bookman Old Style" w:cs="Arial"/>
          <w:b w:val="0"/>
          <w:sz w:val="24"/>
          <w:szCs w:val="24"/>
          <w:lang w:val="id-ID"/>
        </w:rPr>
        <w:t>, 2006: 10)</w:t>
      </w:r>
    </w:p>
    <w:p w:rsidR="004D7C40" w:rsidRPr="004D7C40" w:rsidRDefault="004D7C40" w:rsidP="004D7C40">
      <w:pPr>
        <w:pStyle w:val="BodyText"/>
        <w:spacing w:after="240"/>
        <w:ind w:firstLine="588"/>
        <w:jc w:val="both"/>
        <w:rPr>
          <w:rFonts w:ascii="Bookman Old Style" w:hAnsi="Bookman Old Style" w:cs="Arial"/>
          <w:b w:val="0"/>
          <w:sz w:val="24"/>
          <w:szCs w:val="24"/>
          <w:lang w:val="id-ID"/>
        </w:rPr>
      </w:pPr>
      <w:r>
        <w:rPr>
          <w:rFonts w:ascii="Bookman Old Style" w:hAnsi="Bookman Old Style" w:cs="Arial"/>
          <w:b w:val="0"/>
          <w:sz w:val="24"/>
          <w:szCs w:val="24"/>
          <w:lang w:val="id-ID"/>
        </w:rPr>
        <w:t>3</w:t>
      </w:r>
      <w:r w:rsidRPr="004D7C40">
        <w:rPr>
          <w:rFonts w:ascii="Bookman Old Style" w:hAnsi="Bookman Old Style" w:cs="Arial"/>
          <w:b w:val="0"/>
          <w:sz w:val="24"/>
          <w:szCs w:val="24"/>
          <w:lang w:val="id-ID"/>
        </w:rPr>
        <w:t>. Sumber Data</w:t>
      </w:r>
    </w:p>
    <w:p w:rsidR="004D7C40" w:rsidRPr="00F14F07" w:rsidRDefault="004D7C40" w:rsidP="004D7C40">
      <w:pPr>
        <w:pStyle w:val="BodyText"/>
        <w:spacing w:after="240" w:line="276" w:lineRule="auto"/>
        <w:ind w:firstLine="588"/>
        <w:jc w:val="both"/>
        <w:rPr>
          <w:rFonts w:ascii="Bookman Old Style" w:hAnsi="Bookman Old Style" w:cs="Arial"/>
          <w:b w:val="0"/>
          <w:sz w:val="24"/>
          <w:szCs w:val="24"/>
          <w:lang w:val="id-ID"/>
        </w:rPr>
      </w:pPr>
      <w:r w:rsidRPr="004D7C40">
        <w:rPr>
          <w:rFonts w:ascii="Bookman Old Style" w:hAnsi="Bookman Old Style" w:cs="Arial"/>
          <w:b w:val="0"/>
          <w:sz w:val="24"/>
          <w:szCs w:val="24"/>
          <w:lang w:val="id-ID"/>
        </w:rPr>
        <w:t>Sumber data merupakan tempat data suatu penelitian yang dapat diperoleh dan akan digunakan dalam penelitian normatif yaitu sumber data yang meliputi bahan-bahan kepustakaan yang berupa dokumen, buku-buku,laporan,arsip dan literature yang berkaitan dengan masalah yang diteliti.</w:t>
      </w:r>
    </w:p>
    <w:p w:rsidR="004D7C40" w:rsidRDefault="004D7C40" w:rsidP="004D7C40">
      <w:pPr>
        <w:pStyle w:val="BodyText"/>
        <w:tabs>
          <w:tab w:val="left" w:pos="993"/>
        </w:tabs>
        <w:spacing w:line="276" w:lineRule="auto"/>
        <w:ind w:left="602"/>
        <w:jc w:val="both"/>
        <w:rPr>
          <w:rFonts w:ascii="Bookman Old Style" w:hAnsi="Bookman Old Style" w:cs="Arial"/>
          <w:b w:val="0"/>
          <w:sz w:val="24"/>
          <w:szCs w:val="24"/>
          <w:lang w:val="id-ID"/>
        </w:rPr>
      </w:pPr>
      <w:r>
        <w:rPr>
          <w:rFonts w:ascii="Bookman Old Style" w:hAnsi="Bookman Old Style" w:cs="Arial"/>
          <w:b w:val="0"/>
          <w:sz w:val="24"/>
          <w:szCs w:val="24"/>
          <w:lang w:val="id-ID"/>
        </w:rPr>
        <w:t>4</w:t>
      </w:r>
      <w:r w:rsidRPr="004D7C40">
        <w:rPr>
          <w:rFonts w:ascii="Bookman Old Style" w:hAnsi="Bookman Old Style" w:cs="Arial"/>
          <w:b w:val="0"/>
          <w:sz w:val="24"/>
          <w:szCs w:val="24"/>
        </w:rPr>
        <w:t>. Teknik Pengumpulan Data</w:t>
      </w:r>
    </w:p>
    <w:p w:rsidR="00991419" w:rsidRPr="00991419" w:rsidRDefault="00991419" w:rsidP="004D7C40">
      <w:pPr>
        <w:pStyle w:val="BodyText"/>
        <w:tabs>
          <w:tab w:val="left" w:pos="993"/>
        </w:tabs>
        <w:spacing w:line="276" w:lineRule="auto"/>
        <w:ind w:left="602"/>
        <w:jc w:val="both"/>
        <w:rPr>
          <w:rFonts w:ascii="Bookman Old Style" w:hAnsi="Bookman Old Style" w:cs="Arial"/>
          <w:b w:val="0"/>
          <w:sz w:val="24"/>
          <w:szCs w:val="24"/>
          <w:lang w:val="id-ID"/>
        </w:rPr>
      </w:pPr>
    </w:p>
    <w:p w:rsidR="004D7C40" w:rsidRPr="004D7C40" w:rsidRDefault="004D7C40" w:rsidP="004D7C40">
      <w:pPr>
        <w:pStyle w:val="BodyText"/>
        <w:tabs>
          <w:tab w:val="left" w:pos="993"/>
        </w:tabs>
        <w:spacing w:line="276" w:lineRule="auto"/>
        <w:ind w:firstLine="602"/>
        <w:jc w:val="both"/>
        <w:rPr>
          <w:rFonts w:ascii="Bookman Old Style" w:hAnsi="Bookman Old Style" w:cs="Arial"/>
          <w:b w:val="0"/>
          <w:sz w:val="24"/>
          <w:szCs w:val="24"/>
          <w:lang w:val="id-ID"/>
        </w:rPr>
      </w:pPr>
      <w:r w:rsidRPr="004D7C40">
        <w:rPr>
          <w:rFonts w:ascii="Bookman Old Style" w:hAnsi="Bookman Old Style" w:cs="Arial"/>
          <w:b w:val="0"/>
          <w:sz w:val="24"/>
          <w:szCs w:val="24"/>
          <w:lang w:val="id-ID"/>
        </w:rPr>
        <w:t>Teknik pengumpulan data yang digunakan oleh penulis dalam penelitian ini adalah studi dokumen atau bahan pustaka</w:t>
      </w:r>
      <w:r w:rsidR="00991419">
        <w:rPr>
          <w:rFonts w:ascii="Bookman Old Style" w:hAnsi="Bookman Old Style" w:cs="Arial"/>
          <w:b w:val="0"/>
          <w:sz w:val="24"/>
          <w:szCs w:val="24"/>
          <w:lang w:val="id-ID"/>
        </w:rPr>
        <w:t xml:space="preserve"> </w:t>
      </w:r>
      <w:r w:rsidR="00991419">
        <w:rPr>
          <w:rFonts w:ascii="Bookman Old Style" w:hAnsi="Bookman Old Style" w:cs="Arial"/>
          <w:b w:val="0"/>
          <w:i/>
          <w:sz w:val="24"/>
          <w:szCs w:val="24"/>
          <w:lang w:val="id-ID"/>
        </w:rPr>
        <w:t>(library research)</w:t>
      </w:r>
      <w:r w:rsidRPr="004D7C40">
        <w:rPr>
          <w:rFonts w:ascii="Bookman Old Style" w:hAnsi="Bookman Old Style" w:cs="Arial"/>
          <w:b w:val="0"/>
          <w:sz w:val="24"/>
          <w:szCs w:val="24"/>
          <w:lang w:val="id-ID"/>
        </w:rPr>
        <w:t>.</w:t>
      </w:r>
    </w:p>
    <w:p w:rsidR="00A235B9" w:rsidRDefault="00A235B9" w:rsidP="00A34E88">
      <w:pPr>
        <w:pStyle w:val="ListParagraph"/>
        <w:spacing w:after="0"/>
        <w:jc w:val="both"/>
        <w:rPr>
          <w:rFonts w:ascii="Bookman Old Style" w:hAnsi="Bookman Old Style"/>
          <w:sz w:val="24"/>
          <w:szCs w:val="24"/>
        </w:rPr>
      </w:pPr>
    </w:p>
    <w:p w:rsidR="00233D80" w:rsidRDefault="00233D80" w:rsidP="00A34E88">
      <w:pPr>
        <w:pStyle w:val="ListParagraph"/>
        <w:spacing w:after="0"/>
        <w:jc w:val="both"/>
        <w:rPr>
          <w:rFonts w:ascii="Bookman Old Style" w:hAnsi="Bookman Old Style"/>
          <w:sz w:val="24"/>
          <w:szCs w:val="24"/>
        </w:rPr>
      </w:pPr>
    </w:p>
    <w:p w:rsidR="00233D80" w:rsidRPr="00A235B9" w:rsidRDefault="00233D80" w:rsidP="00A34E88">
      <w:pPr>
        <w:pStyle w:val="ListParagraph"/>
        <w:spacing w:after="0"/>
        <w:jc w:val="both"/>
        <w:rPr>
          <w:rFonts w:ascii="Bookman Old Style" w:hAnsi="Bookman Old Style"/>
          <w:sz w:val="24"/>
          <w:szCs w:val="24"/>
        </w:rPr>
      </w:pPr>
    </w:p>
    <w:p w:rsidR="004B1C63" w:rsidRDefault="00A34E88" w:rsidP="00BE227A">
      <w:pPr>
        <w:pStyle w:val="ListParagraph"/>
        <w:numPr>
          <w:ilvl w:val="0"/>
          <w:numId w:val="1"/>
        </w:numPr>
        <w:spacing w:after="0"/>
        <w:jc w:val="both"/>
        <w:rPr>
          <w:rFonts w:ascii="Bookman Old Style" w:hAnsi="Bookman Old Style"/>
          <w:b/>
          <w:sz w:val="24"/>
          <w:szCs w:val="24"/>
        </w:rPr>
      </w:pPr>
      <w:r>
        <w:rPr>
          <w:rFonts w:ascii="Bookman Old Style" w:hAnsi="Bookman Old Style"/>
          <w:b/>
          <w:sz w:val="24"/>
          <w:szCs w:val="24"/>
        </w:rPr>
        <w:t xml:space="preserve">HASIL DAN </w:t>
      </w:r>
      <w:r w:rsidR="004B1C63" w:rsidRPr="00A34E88">
        <w:rPr>
          <w:rFonts w:ascii="Bookman Old Style" w:hAnsi="Bookman Old Style"/>
          <w:b/>
          <w:sz w:val="24"/>
          <w:szCs w:val="24"/>
        </w:rPr>
        <w:t>PEMBAHASAN</w:t>
      </w:r>
    </w:p>
    <w:p w:rsidR="00A34E88" w:rsidRPr="00A34E88" w:rsidRDefault="00A34E88" w:rsidP="00A34E88">
      <w:pPr>
        <w:pStyle w:val="ListParagraph"/>
        <w:spacing w:after="0"/>
        <w:jc w:val="both"/>
        <w:rPr>
          <w:rFonts w:ascii="Bookman Old Style" w:hAnsi="Bookman Old Style"/>
          <w:b/>
          <w:sz w:val="24"/>
          <w:szCs w:val="24"/>
        </w:rPr>
      </w:pPr>
    </w:p>
    <w:p w:rsidR="004B1C63" w:rsidRDefault="00A31042" w:rsidP="00A34E88">
      <w:pPr>
        <w:spacing w:after="0"/>
        <w:ind w:left="709"/>
        <w:jc w:val="both"/>
        <w:rPr>
          <w:rFonts w:ascii="Bookman Old Style" w:hAnsi="Bookman Old Style"/>
          <w:b/>
          <w:sz w:val="24"/>
          <w:szCs w:val="24"/>
        </w:rPr>
      </w:pPr>
      <w:r>
        <w:rPr>
          <w:rFonts w:ascii="Bookman Old Style" w:hAnsi="Bookman Old Style"/>
          <w:b/>
          <w:sz w:val="24"/>
          <w:szCs w:val="24"/>
        </w:rPr>
        <w:t>KEADILAN BAGI</w:t>
      </w:r>
      <w:r w:rsidR="004B1C63" w:rsidRPr="00A34E88">
        <w:rPr>
          <w:rFonts w:ascii="Bookman Old Style" w:hAnsi="Bookman Old Style"/>
          <w:b/>
          <w:sz w:val="24"/>
          <w:szCs w:val="24"/>
        </w:rPr>
        <w:t xml:space="preserve"> TERPIDANA DAN MANTAN TERPIDANA TERHADAP DELIK YANG TELAH MENGALAMI </w:t>
      </w:r>
      <w:r w:rsidR="00EC7EF6" w:rsidRPr="00EC7EF6">
        <w:rPr>
          <w:rFonts w:ascii="Bookman Old Style" w:hAnsi="Bookman Old Style"/>
          <w:b/>
          <w:i/>
          <w:sz w:val="24"/>
          <w:szCs w:val="24"/>
        </w:rPr>
        <w:t>DEKRIMINALISASI</w:t>
      </w:r>
    </w:p>
    <w:p w:rsidR="00912FD2" w:rsidRPr="00A34E88" w:rsidRDefault="00912FD2" w:rsidP="00BE227A">
      <w:pPr>
        <w:spacing w:after="0"/>
        <w:jc w:val="both"/>
        <w:rPr>
          <w:rFonts w:ascii="Bookman Old Style" w:hAnsi="Bookman Old Style"/>
          <w:b/>
          <w:sz w:val="24"/>
          <w:szCs w:val="24"/>
        </w:rPr>
      </w:pPr>
    </w:p>
    <w:p w:rsidR="00D23E78" w:rsidRPr="00A34E88" w:rsidRDefault="00D23E78" w:rsidP="00D23E78">
      <w:pPr>
        <w:spacing w:after="0"/>
        <w:ind w:firstLine="567"/>
        <w:jc w:val="both"/>
        <w:rPr>
          <w:rFonts w:ascii="Bookman Old Style" w:hAnsi="Bookman Old Style"/>
          <w:sz w:val="24"/>
          <w:szCs w:val="24"/>
        </w:rPr>
      </w:pPr>
      <w:r w:rsidRPr="00A34E88">
        <w:rPr>
          <w:rFonts w:ascii="Bookman Old Style" w:hAnsi="Bookman Old Style"/>
          <w:sz w:val="24"/>
          <w:szCs w:val="24"/>
        </w:rPr>
        <w:tab/>
        <w:t xml:space="preserve">Berdasarkan ketentuan beberapa konstitusi negara, tampak adanya pembatasan berlakunya asas legalitas dalam hal terjadinya perubahan peraturan perundang-undangan. Demikian pula dalam Kitab Undang-undang Hukum Pidana beberapa negara terdapat pembatasan terhadap asas </w:t>
      </w:r>
      <w:r w:rsidRPr="00A34E88">
        <w:rPr>
          <w:rFonts w:ascii="Bookman Old Style" w:hAnsi="Bookman Old Style"/>
          <w:i/>
          <w:sz w:val="24"/>
          <w:szCs w:val="24"/>
        </w:rPr>
        <w:t xml:space="preserve">Lex temporis delicti./ </w:t>
      </w:r>
      <w:r w:rsidRPr="00A34E88">
        <w:rPr>
          <w:rFonts w:ascii="Bookman Old Style" w:hAnsi="Bookman Old Style"/>
          <w:sz w:val="24"/>
          <w:szCs w:val="24"/>
        </w:rPr>
        <w:t xml:space="preserve">Pasal 1 ayat (2) WvS Belanda secara tegas menyatakan </w:t>
      </w:r>
      <w:r w:rsidRPr="00A34E88">
        <w:rPr>
          <w:rFonts w:ascii="Bookman Old Style" w:hAnsi="Bookman Old Style"/>
          <w:i/>
          <w:sz w:val="24"/>
          <w:szCs w:val="24"/>
        </w:rPr>
        <w:t xml:space="preserve">“Bij veraderingin de wetgeving na et tijdstip waarop het feit began is, woorden de voor den verdachte gunstigste bepaling toegepast” </w:t>
      </w:r>
      <w:r w:rsidRPr="00A34E88">
        <w:rPr>
          <w:rFonts w:ascii="Bookman Old Style" w:hAnsi="Bookman Old Style"/>
          <w:sz w:val="24"/>
          <w:szCs w:val="24"/>
        </w:rPr>
        <w:t xml:space="preserve"> </w:t>
      </w:r>
      <w:r w:rsidR="001E5A12" w:rsidRPr="00A34E88">
        <w:rPr>
          <w:rFonts w:ascii="Bookman Old Style" w:hAnsi="Bookman Old Style"/>
          <w:sz w:val="24"/>
          <w:szCs w:val="24"/>
        </w:rPr>
        <w:t xml:space="preserve">demikian pula Pasal 1 ayat (2) KUHP Indonesia berbunyi, ´Jika sesudah perbuatan dilakukan ada perubahan dalam perundang-undangan dipakai aturan yang paling ringan bagi terdakwa.” </w:t>
      </w:r>
      <w:r w:rsidR="00D4496A" w:rsidRPr="00A34E88">
        <w:rPr>
          <w:rFonts w:ascii="Bookman Old Style" w:hAnsi="Bookman Old Style"/>
          <w:sz w:val="24"/>
          <w:szCs w:val="24"/>
        </w:rPr>
        <w:t xml:space="preserve">Hal yang sama juga terdapat dalam undang-undang pidana Jerman yang dengan tegas menyatakan </w:t>
      </w:r>
      <w:r w:rsidR="00D4496A" w:rsidRPr="00A34E88">
        <w:rPr>
          <w:rFonts w:ascii="Bookman Old Style" w:hAnsi="Bookman Old Style"/>
          <w:i/>
          <w:sz w:val="24"/>
          <w:szCs w:val="24"/>
        </w:rPr>
        <w:t>“Bei Verschiedenheit der Gesetze von der Zeit der begangenen Handlung bis Zu deren Ab</w:t>
      </w:r>
      <w:r w:rsidR="004F2760" w:rsidRPr="00A34E88">
        <w:rPr>
          <w:rFonts w:ascii="Bookman Old Style" w:hAnsi="Bookman Old Style"/>
          <w:i/>
          <w:sz w:val="24"/>
          <w:szCs w:val="24"/>
        </w:rPr>
        <w:t xml:space="preserve">urteilung ist das mildeste Gesetz anzuwneden” </w:t>
      </w:r>
      <w:r w:rsidR="004F2760" w:rsidRPr="00A34E88">
        <w:rPr>
          <w:rFonts w:ascii="Bookman Old Style" w:hAnsi="Bookman Old Style"/>
          <w:sz w:val="24"/>
          <w:szCs w:val="24"/>
        </w:rPr>
        <w:t xml:space="preserve">(Jika ada perbedaan antara ketentuan pidana yang berlaku pada waktu tindak pidana dilakukan dan </w:t>
      </w:r>
      <w:r w:rsidR="00F61AEF" w:rsidRPr="00A34E88">
        <w:rPr>
          <w:rFonts w:ascii="Bookman Old Style" w:hAnsi="Bookman Old Style"/>
          <w:sz w:val="24"/>
          <w:szCs w:val="24"/>
        </w:rPr>
        <w:t>ketentuan pidana yang kemudian berlaku pada waktu tindak pidana yang sama diperiksa di pengadilan, ketentuan pidana paling ringanlah yang harus ditetapkan).</w:t>
      </w:r>
      <w:r w:rsidR="004D5B2E">
        <w:rPr>
          <w:rFonts w:ascii="Bookman Old Style" w:hAnsi="Bookman Old Style"/>
          <w:sz w:val="24"/>
          <w:szCs w:val="24"/>
        </w:rPr>
        <w:t xml:space="preserve"> (</w:t>
      </w:r>
      <w:r w:rsidR="004D5B2E" w:rsidRPr="00353D6C">
        <w:rPr>
          <w:rFonts w:ascii="Bookman Old Style" w:hAnsi="Bookman Old Style"/>
          <w:sz w:val="24"/>
          <w:szCs w:val="24"/>
        </w:rPr>
        <w:t>Eddy</w:t>
      </w:r>
      <w:r w:rsidR="004D5B2E" w:rsidRPr="00EA35B6">
        <w:rPr>
          <w:rFonts w:ascii="Bookman Old Style" w:hAnsi="Bookman Old Style"/>
        </w:rPr>
        <w:t xml:space="preserve"> O.S </w:t>
      </w:r>
      <w:r w:rsidR="004D5B2E" w:rsidRPr="00353D6C">
        <w:rPr>
          <w:rFonts w:ascii="Bookman Old Style" w:hAnsi="Bookman Old Style"/>
          <w:sz w:val="24"/>
          <w:szCs w:val="24"/>
        </w:rPr>
        <w:t>Hiariej, 2009:34)</w:t>
      </w:r>
    </w:p>
    <w:p w:rsidR="00D23E78" w:rsidRDefault="00C26D37" w:rsidP="00BE227A">
      <w:pPr>
        <w:spacing w:after="0"/>
        <w:jc w:val="both"/>
        <w:rPr>
          <w:rFonts w:ascii="Bookman Old Style" w:hAnsi="Bookman Old Style"/>
          <w:sz w:val="24"/>
          <w:szCs w:val="24"/>
        </w:rPr>
      </w:pPr>
      <w:r w:rsidRPr="00A34E88">
        <w:rPr>
          <w:rFonts w:ascii="Bookman Old Style" w:hAnsi="Bookman Old Style"/>
          <w:b/>
          <w:sz w:val="24"/>
          <w:szCs w:val="24"/>
        </w:rPr>
        <w:tab/>
      </w:r>
      <w:r w:rsidR="00D80461" w:rsidRPr="00A34E88">
        <w:rPr>
          <w:rFonts w:ascii="Bookman Old Style" w:hAnsi="Bookman Old Style"/>
          <w:sz w:val="24"/>
          <w:szCs w:val="24"/>
        </w:rPr>
        <w:t xml:space="preserve">Ketentuan </w:t>
      </w:r>
      <w:r w:rsidRPr="00A34E88">
        <w:rPr>
          <w:rFonts w:ascii="Bookman Old Style" w:hAnsi="Bookman Old Style"/>
          <w:sz w:val="24"/>
          <w:szCs w:val="24"/>
        </w:rPr>
        <w:t>Pasal 1</w:t>
      </w:r>
      <w:r w:rsidR="00D60E34" w:rsidRPr="00A34E88">
        <w:rPr>
          <w:rFonts w:ascii="Bookman Old Style" w:hAnsi="Bookman Old Style"/>
          <w:sz w:val="24"/>
          <w:szCs w:val="24"/>
        </w:rPr>
        <w:t xml:space="preserve"> ayat (2) KUHP, menurut Utrech,</w:t>
      </w:r>
      <w:r w:rsidRPr="00A34E88">
        <w:rPr>
          <w:rFonts w:ascii="Bookman Old Style" w:hAnsi="Bookman Old Style"/>
          <w:sz w:val="24"/>
          <w:szCs w:val="24"/>
        </w:rPr>
        <w:t xml:space="preserve"> ada dua per</w:t>
      </w:r>
      <w:r w:rsidR="004D5B2E">
        <w:rPr>
          <w:rFonts w:ascii="Bookman Old Style" w:hAnsi="Bookman Old Style"/>
          <w:sz w:val="24"/>
          <w:szCs w:val="24"/>
        </w:rPr>
        <w:t xml:space="preserve">tanyaan mendasar yang harus dijawab. Pertama apa yang dimaksud dengan perubahan perundang-udangan </w:t>
      </w:r>
      <w:r w:rsidR="004D5B2E">
        <w:rPr>
          <w:rFonts w:ascii="Bookman Old Style" w:hAnsi="Bookman Old Style"/>
          <w:i/>
          <w:sz w:val="24"/>
          <w:szCs w:val="24"/>
        </w:rPr>
        <w:t xml:space="preserve">(verandering in de wetgeving). </w:t>
      </w:r>
      <w:r w:rsidR="004D5B2E">
        <w:rPr>
          <w:rFonts w:ascii="Bookman Old Style" w:hAnsi="Bookman Old Style"/>
          <w:sz w:val="24"/>
          <w:szCs w:val="24"/>
        </w:rPr>
        <w:t xml:space="preserve"> Kedua, apa yang dimaksud dengan aturan yang paling meringankan </w:t>
      </w:r>
      <w:r w:rsidR="004D5B2E">
        <w:rPr>
          <w:rFonts w:ascii="Bookman Old Style" w:hAnsi="Bookman Old Style"/>
          <w:i/>
          <w:sz w:val="24"/>
          <w:szCs w:val="24"/>
        </w:rPr>
        <w:t xml:space="preserve">(gunstigste bepaligen). </w:t>
      </w:r>
      <w:r w:rsidR="004D5B2E">
        <w:rPr>
          <w:rFonts w:ascii="Bookman Old Style" w:hAnsi="Bookman Old Style"/>
          <w:sz w:val="24"/>
          <w:szCs w:val="24"/>
        </w:rPr>
        <w:t xml:space="preserve">(E.Utrecht, 1960:222). Terhadap ajaran tersebut, ada tiga ajaran yang digunakan yakni ajaran formil, ajaran materiil terbatas dan ajaran materiil tidak terbatas. </w:t>
      </w:r>
    </w:p>
    <w:p w:rsidR="00E02AEE" w:rsidRDefault="004D5B2E" w:rsidP="00BE227A">
      <w:pPr>
        <w:spacing w:after="0"/>
        <w:jc w:val="both"/>
        <w:rPr>
          <w:rFonts w:ascii="Bookman Old Style" w:hAnsi="Bookman Old Style"/>
          <w:sz w:val="24"/>
          <w:szCs w:val="24"/>
        </w:rPr>
      </w:pPr>
      <w:r>
        <w:rPr>
          <w:rFonts w:ascii="Bookman Old Style" w:hAnsi="Bookman Old Style"/>
          <w:sz w:val="24"/>
          <w:szCs w:val="24"/>
        </w:rPr>
        <w:tab/>
        <w:t>Ajaran formil dipelopori oleh Simons menyetakan bahwa “perubahan perundang-undangan” yang dimaksud dalam Pasal 1 ayat (2) dilaku</w:t>
      </w:r>
      <w:r w:rsidR="00864DF8">
        <w:rPr>
          <w:rFonts w:ascii="Bookman Old Style" w:hAnsi="Bookman Old Style"/>
          <w:sz w:val="24"/>
          <w:szCs w:val="24"/>
        </w:rPr>
        <w:t xml:space="preserve">kan hanya jika terdapat </w:t>
      </w:r>
      <w:r w:rsidR="00A37EA7">
        <w:rPr>
          <w:rFonts w:ascii="Bookman Old Style" w:hAnsi="Bookman Old Style"/>
          <w:sz w:val="24"/>
          <w:szCs w:val="24"/>
        </w:rPr>
        <w:t>perubahan redaksi dalam undang-undang pidana. Sedangkan ajaran materiil terbatas dianut oleh Geuns yang menyatakan bahwa makna “perubahan undang-undang” dalam pasal 1 ayat (2) adalah setiap perubahan keyakinan hukum pada pembuat undang-undang. Ajaran materiil terbatas mencakup juga perbuatan di luar undang-undang pidana yang mempengaruhi undang-undang pidana yang bersangkutan</w:t>
      </w:r>
      <w:r w:rsidR="00E02AEE">
        <w:rPr>
          <w:rFonts w:ascii="Bookman Old Style" w:hAnsi="Bookman Old Style"/>
          <w:sz w:val="24"/>
          <w:szCs w:val="24"/>
        </w:rPr>
        <w:t xml:space="preserve">, seperti pada putusan </w:t>
      </w:r>
      <w:r w:rsidR="00E02AEE">
        <w:rPr>
          <w:rFonts w:ascii="Bookman Old Style" w:hAnsi="Bookman Old Style"/>
          <w:i/>
          <w:sz w:val="24"/>
          <w:szCs w:val="24"/>
        </w:rPr>
        <w:t xml:space="preserve">Hoge Raad </w:t>
      </w:r>
      <w:r w:rsidR="00E02AEE">
        <w:rPr>
          <w:rFonts w:ascii="Bookman Old Style" w:hAnsi="Bookman Old Style"/>
          <w:sz w:val="24"/>
          <w:szCs w:val="24"/>
        </w:rPr>
        <w:t xml:space="preserve"> 3 Desember 1906 W.Nr.</w:t>
      </w:r>
      <w:r w:rsidR="00A37EA7">
        <w:rPr>
          <w:rFonts w:ascii="Bookman Old Style" w:hAnsi="Bookman Old Style"/>
          <w:sz w:val="24"/>
          <w:szCs w:val="24"/>
        </w:rPr>
        <w:t xml:space="preserve"> </w:t>
      </w:r>
      <w:r w:rsidR="00E02AEE">
        <w:rPr>
          <w:rFonts w:ascii="Bookman Old Style" w:hAnsi="Bookman Old Style"/>
          <w:sz w:val="24"/>
          <w:szCs w:val="24"/>
        </w:rPr>
        <w:t xml:space="preserve">8464 : Pada bulan Desember 1904, seorang ,mucikari mempekerjakan seorang wanita berusia 22 tahun sebagai pelacur. Perbuatan mucikari tersebut dituntut dengan pasal 295 ayat (1) ke-2 karena mempekerjakan wanita dibawah umur sebagai pelacur. Berdasarkan pasal 330 KUH Perdata batas usia dewasa adalah 23 tahun. Pada saat mucikari tersebut sedang diadili, pasal 330 KUH Perdata mengalami perubahan batas usia dewasa menjadi 21 tahun. </w:t>
      </w:r>
      <w:r w:rsidR="00E02AEE">
        <w:rPr>
          <w:rFonts w:ascii="Bookman Old Style" w:hAnsi="Bookman Old Style"/>
          <w:i/>
          <w:sz w:val="24"/>
          <w:szCs w:val="24"/>
        </w:rPr>
        <w:t xml:space="preserve">Hoge Raad </w:t>
      </w:r>
      <w:r w:rsidR="00E02AEE">
        <w:rPr>
          <w:rFonts w:ascii="Bookman Old Style" w:hAnsi="Bookman Old Style"/>
          <w:sz w:val="24"/>
          <w:szCs w:val="24"/>
        </w:rPr>
        <w:t xml:space="preserve"> membebaskan mucikari tersebut dengan alasan telah terjadi perubahan perundang-undangan sebagaimana dimaksud dalam pasal 1 ayat (2) KUHP sehingga harus diputus meringankan terdakwa. </w:t>
      </w:r>
      <w:r w:rsidR="00A37EA7">
        <w:rPr>
          <w:rFonts w:ascii="Bookman Old Style" w:hAnsi="Bookman Old Style"/>
          <w:sz w:val="24"/>
          <w:szCs w:val="24"/>
        </w:rPr>
        <w:t xml:space="preserve">(E.Utrecht, 1960:224). </w:t>
      </w:r>
    </w:p>
    <w:p w:rsidR="007642FB" w:rsidRPr="007642FB" w:rsidRDefault="007642FB" w:rsidP="00BE227A">
      <w:pPr>
        <w:spacing w:after="0"/>
        <w:jc w:val="both"/>
        <w:rPr>
          <w:rFonts w:ascii="Bookman Old Style" w:hAnsi="Bookman Old Style"/>
          <w:i/>
          <w:sz w:val="24"/>
          <w:szCs w:val="24"/>
        </w:rPr>
      </w:pPr>
      <w:r>
        <w:rPr>
          <w:rFonts w:ascii="Bookman Old Style" w:hAnsi="Bookman Old Style"/>
          <w:sz w:val="24"/>
          <w:szCs w:val="24"/>
        </w:rPr>
        <w:tab/>
        <w:t xml:space="preserve">Menanggapi kasus </w:t>
      </w:r>
      <w:r>
        <w:rPr>
          <w:rFonts w:ascii="Bookman Old Style" w:hAnsi="Bookman Old Style"/>
          <w:i/>
          <w:sz w:val="24"/>
          <w:szCs w:val="24"/>
        </w:rPr>
        <w:t xml:space="preserve">Hoge Raad </w:t>
      </w:r>
      <w:r>
        <w:rPr>
          <w:rFonts w:ascii="Bookman Old Style" w:hAnsi="Bookman Old Style"/>
          <w:sz w:val="24"/>
          <w:szCs w:val="24"/>
        </w:rPr>
        <w:t xml:space="preserve"> bahwa yang menerima keringanan dalam hal ini adala</w:t>
      </w:r>
      <w:r w:rsidR="00353D6C">
        <w:rPr>
          <w:rFonts w:ascii="Bookman Old Style" w:hAnsi="Bookman Old Style"/>
          <w:sz w:val="24"/>
          <w:szCs w:val="24"/>
        </w:rPr>
        <w:t>h</w:t>
      </w:r>
      <w:r>
        <w:rPr>
          <w:rFonts w:ascii="Bookman Old Style" w:hAnsi="Bookman Old Style"/>
          <w:sz w:val="24"/>
          <w:szCs w:val="24"/>
        </w:rPr>
        <w:t xml:space="preserve"> terdakwa, dimana perubahan peraturan perundang-undangan terjadi saat perbuatan tersebut telah dilaksanakan dan belum memiliki putusan yang </w:t>
      </w:r>
      <w:r>
        <w:rPr>
          <w:rFonts w:ascii="Bookman Old Style" w:hAnsi="Bookman Old Style"/>
          <w:i/>
          <w:sz w:val="24"/>
          <w:szCs w:val="24"/>
        </w:rPr>
        <w:t>inchrah.</w:t>
      </w:r>
    </w:p>
    <w:p w:rsidR="004D5B2E" w:rsidRDefault="00A37EA7" w:rsidP="00E02AEE">
      <w:pPr>
        <w:spacing w:after="0"/>
        <w:ind w:firstLine="720"/>
        <w:jc w:val="both"/>
        <w:rPr>
          <w:rFonts w:ascii="Bookman Old Style" w:hAnsi="Bookman Old Style"/>
          <w:sz w:val="24"/>
          <w:szCs w:val="24"/>
        </w:rPr>
      </w:pPr>
      <w:r>
        <w:rPr>
          <w:rFonts w:ascii="Bookman Old Style" w:hAnsi="Bookman Old Style"/>
          <w:sz w:val="24"/>
          <w:szCs w:val="24"/>
        </w:rPr>
        <w:t>Ajaran materiil tidak terbatas menyatakan bahwa setiap perubahan, baik dalam keyakinan hukum pembuat undang-undang, maupun dalam keadaan karena waktu, dapat diterima sebagai perubahan perundang-undangan menurut Pasal 1 ayat (2) KUHP. Komentar Utrech, ajaran materiil tidak terbatas ini adalah teori tentang waktu d</w:t>
      </w:r>
      <w:r w:rsidR="00E02AEE">
        <w:rPr>
          <w:rFonts w:ascii="Bookman Old Style" w:hAnsi="Bookman Old Style"/>
          <w:sz w:val="24"/>
          <w:szCs w:val="24"/>
        </w:rPr>
        <w:t>elik yang paling luas dan cocok dengan jiwa hukum pidana dan peradilan pidana modern yang telah menerima perluas</w:t>
      </w:r>
      <w:r w:rsidR="00353D6C">
        <w:rPr>
          <w:rFonts w:ascii="Bookman Old Style" w:hAnsi="Bookman Old Style"/>
          <w:sz w:val="24"/>
          <w:szCs w:val="24"/>
        </w:rPr>
        <w:t xml:space="preserve">an </w:t>
      </w:r>
      <w:r w:rsidR="00E02AEE">
        <w:rPr>
          <w:rFonts w:ascii="Bookman Old Style" w:hAnsi="Bookman Old Style"/>
          <w:sz w:val="24"/>
          <w:szCs w:val="24"/>
        </w:rPr>
        <w:t xml:space="preserve">dengan cara analogi. </w:t>
      </w:r>
    </w:p>
    <w:p w:rsidR="001C5455" w:rsidRPr="001C5455" w:rsidRDefault="007C6AA3" w:rsidP="001C5455">
      <w:pPr>
        <w:spacing w:after="0"/>
        <w:ind w:firstLine="720"/>
        <w:jc w:val="both"/>
        <w:rPr>
          <w:rFonts w:ascii="Bookman Old Style" w:hAnsi="Bookman Old Style"/>
          <w:sz w:val="24"/>
          <w:szCs w:val="24"/>
        </w:rPr>
      </w:pPr>
      <w:r>
        <w:rPr>
          <w:rFonts w:ascii="Bookman Old Style" w:hAnsi="Bookman Old Style"/>
          <w:sz w:val="24"/>
          <w:szCs w:val="24"/>
        </w:rPr>
        <w:t xml:space="preserve">Perubahan Peraturan perundang-undangan yang mengakibatkan hadirnya dekriminalisasi terhadap tindak pidana tentu bukan hanya terjadi pada satu atau dua pasal, melainkan lebih dari beberapa pasal. </w:t>
      </w:r>
      <w:r w:rsidR="00BC069C">
        <w:rPr>
          <w:rFonts w:ascii="Bookman Old Style" w:hAnsi="Bookman Old Style"/>
          <w:sz w:val="24"/>
          <w:szCs w:val="24"/>
        </w:rPr>
        <w:t>Berikut beberapa kasus Tindak Pidana</w:t>
      </w:r>
      <w:r w:rsidR="00EB49FD">
        <w:rPr>
          <w:rFonts w:ascii="Bookman Old Style" w:hAnsi="Bookman Old Style"/>
          <w:sz w:val="24"/>
          <w:szCs w:val="24"/>
        </w:rPr>
        <w:t xml:space="preserve"> berdasarkan data  </w:t>
      </w:r>
      <w:r w:rsidR="00EB49FD" w:rsidRPr="00F01378">
        <w:rPr>
          <w:rFonts w:ascii="Bookman Old Style" w:hAnsi="Bookman Old Style"/>
          <w:b/>
          <w:i/>
          <w:sz w:val="24"/>
          <w:szCs w:val="24"/>
        </w:rPr>
        <w:t>Institute for Criminal Justice</w:t>
      </w:r>
      <w:r w:rsidR="00EB49FD" w:rsidRPr="00F01378">
        <w:rPr>
          <w:rFonts w:ascii="Bookman Old Style" w:hAnsi="Bookman Old Style"/>
          <w:b/>
          <w:sz w:val="24"/>
          <w:szCs w:val="24"/>
        </w:rPr>
        <w:t xml:space="preserve"> </w:t>
      </w:r>
      <w:r w:rsidR="00E167B7">
        <w:rPr>
          <w:rFonts w:ascii="Bookman Old Style" w:hAnsi="Bookman Old Style"/>
          <w:b/>
          <w:i/>
          <w:sz w:val="24"/>
          <w:szCs w:val="24"/>
        </w:rPr>
        <w:t xml:space="preserve">Reform (ICJR) </w:t>
      </w:r>
      <w:r w:rsidR="00BC069C">
        <w:rPr>
          <w:rFonts w:ascii="Bookman Old Style" w:hAnsi="Bookman Old Style"/>
          <w:sz w:val="24"/>
          <w:szCs w:val="24"/>
        </w:rPr>
        <w:t xml:space="preserve">yang </w:t>
      </w:r>
      <w:r w:rsidR="00E167B7">
        <w:rPr>
          <w:rFonts w:ascii="Bookman Old Style" w:hAnsi="Bookman Old Style"/>
          <w:sz w:val="24"/>
          <w:szCs w:val="24"/>
        </w:rPr>
        <w:t xml:space="preserve">tersandung kasus </w:t>
      </w:r>
      <w:r w:rsidR="001C5455" w:rsidRPr="001C5455">
        <w:rPr>
          <w:rFonts w:ascii="Bookman Old Style" w:hAnsi="Bookman Old Style"/>
          <w:sz w:val="24"/>
          <w:szCs w:val="24"/>
        </w:rPr>
        <w:t>Penyebaran kebencian terhadap pemerintah (</w:t>
      </w:r>
      <w:r w:rsidR="001C5455" w:rsidRPr="00EB49FD">
        <w:rPr>
          <w:rFonts w:ascii="Bookman Old Style" w:hAnsi="Bookman Old Style"/>
          <w:i/>
          <w:sz w:val="24"/>
          <w:szCs w:val="24"/>
        </w:rPr>
        <w:t>haatzaaiartikelen</w:t>
      </w:r>
      <w:r w:rsidR="001C5455" w:rsidRPr="001C5455">
        <w:rPr>
          <w:rFonts w:ascii="Bookman Old Style" w:hAnsi="Bookman Old Style"/>
          <w:sz w:val="24"/>
          <w:szCs w:val="24"/>
        </w:rPr>
        <w:t>) yang tercantum dalam Pasal 154-15</w:t>
      </w:r>
      <w:r w:rsidR="00E167B7">
        <w:rPr>
          <w:rFonts w:ascii="Bookman Old Style" w:hAnsi="Bookman Old Style"/>
          <w:sz w:val="24"/>
          <w:szCs w:val="24"/>
        </w:rPr>
        <w:t>5</w:t>
      </w:r>
      <w:r w:rsidR="001C5455">
        <w:rPr>
          <w:rFonts w:ascii="Bookman Old Style" w:hAnsi="Bookman Old Style"/>
          <w:sz w:val="24"/>
          <w:szCs w:val="24"/>
        </w:rPr>
        <w:t xml:space="preserve"> KUHP</w:t>
      </w:r>
      <w:r w:rsidR="00E167B7">
        <w:rPr>
          <w:rFonts w:ascii="Bookman Old Style" w:hAnsi="Bookman Old Style"/>
          <w:sz w:val="24"/>
          <w:szCs w:val="24"/>
        </w:rPr>
        <w:t xml:space="preserve"> </w:t>
      </w:r>
      <w:r w:rsidR="00EB49FD">
        <w:rPr>
          <w:rFonts w:ascii="Bookman Old Style" w:hAnsi="Bookman Old Style"/>
          <w:sz w:val="24"/>
          <w:szCs w:val="24"/>
        </w:rPr>
        <w:t xml:space="preserve">: </w:t>
      </w:r>
    </w:p>
    <w:p w:rsidR="00BC069C" w:rsidRDefault="00BC069C" w:rsidP="00E02AEE">
      <w:pPr>
        <w:spacing w:after="0"/>
        <w:ind w:firstLine="720"/>
        <w:jc w:val="both"/>
        <w:rPr>
          <w:rFonts w:ascii="Bookman Old Style" w:hAnsi="Bookman Old Style"/>
          <w:sz w:val="24"/>
          <w:szCs w:val="24"/>
        </w:rPr>
      </w:pPr>
    </w:p>
    <w:tbl>
      <w:tblPr>
        <w:tblStyle w:val="TableGrid"/>
        <w:tblW w:w="0" w:type="auto"/>
        <w:tblLook w:val="04A0"/>
      </w:tblPr>
      <w:tblGrid>
        <w:gridCol w:w="543"/>
        <w:gridCol w:w="3081"/>
        <w:gridCol w:w="5508"/>
      </w:tblGrid>
      <w:tr w:rsidR="00BC069C" w:rsidTr="00BC069C">
        <w:tc>
          <w:tcPr>
            <w:tcW w:w="534" w:type="dxa"/>
          </w:tcPr>
          <w:p w:rsidR="00BC069C" w:rsidRPr="00D03AC1" w:rsidRDefault="00BC069C" w:rsidP="002A55A2">
            <w:pPr>
              <w:spacing w:before="240" w:line="360" w:lineRule="auto"/>
              <w:jc w:val="center"/>
              <w:rPr>
                <w:rFonts w:ascii="Bookman Old Style" w:hAnsi="Bookman Old Style"/>
                <w:b/>
                <w:sz w:val="24"/>
                <w:szCs w:val="24"/>
              </w:rPr>
            </w:pPr>
            <w:r w:rsidRPr="00D03AC1">
              <w:rPr>
                <w:rFonts w:ascii="Bookman Old Style" w:hAnsi="Bookman Old Style"/>
                <w:b/>
                <w:sz w:val="24"/>
                <w:szCs w:val="24"/>
              </w:rPr>
              <w:t>No</w:t>
            </w:r>
          </w:p>
        </w:tc>
        <w:tc>
          <w:tcPr>
            <w:tcW w:w="3081" w:type="dxa"/>
          </w:tcPr>
          <w:p w:rsidR="00BC069C" w:rsidRPr="00D03AC1" w:rsidRDefault="00BC069C" w:rsidP="002A55A2">
            <w:pPr>
              <w:spacing w:before="240" w:line="360" w:lineRule="auto"/>
              <w:jc w:val="center"/>
              <w:rPr>
                <w:rFonts w:ascii="Bookman Old Style" w:hAnsi="Bookman Old Style"/>
                <w:b/>
                <w:sz w:val="24"/>
                <w:szCs w:val="24"/>
              </w:rPr>
            </w:pPr>
            <w:r w:rsidRPr="00D03AC1">
              <w:rPr>
                <w:rFonts w:ascii="Bookman Old Style" w:hAnsi="Bookman Old Style"/>
                <w:b/>
                <w:sz w:val="24"/>
                <w:szCs w:val="24"/>
              </w:rPr>
              <w:t>Kasus</w:t>
            </w:r>
          </w:p>
        </w:tc>
        <w:tc>
          <w:tcPr>
            <w:tcW w:w="5508" w:type="dxa"/>
          </w:tcPr>
          <w:p w:rsidR="00BC069C" w:rsidRPr="00D03AC1" w:rsidRDefault="00BC069C" w:rsidP="002A55A2">
            <w:pPr>
              <w:spacing w:before="240" w:line="360" w:lineRule="auto"/>
              <w:jc w:val="center"/>
              <w:rPr>
                <w:rFonts w:ascii="Bookman Old Style" w:hAnsi="Bookman Old Style"/>
                <w:b/>
                <w:sz w:val="24"/>
                <w:szCs w:val="24"/>
              </w:rPr>
            </w:pPr>
            <w:r w:rsidRPr="00D03AC1">
              <w:rPr>
                <w:rFonts w:ascii="Bookman Old Style" w:hAnsi="Bookman Old Style"/>
                <w:b/>
                <w:sz w:val="24"/>
                <w:szCs w:val="24"/>
              </w:rPr>
              <w:t>Keterangan</w:t>
            </w:r>
          </w:p>
        </w:tc>
      </w:tr>
      <w:tr w:rsidR="00BC069C" w:rsidTr="00BC069C">
        <w:tc>
          <w:tcPr>
            <w:tcW w:w="534" w:type="dxa"/>
          </w:tcPr>
          <w:p w:rsidR="00BC069C" w:rsidRDefault="00BC069C" w:rsidP="002A55A2">
            <w:pPr>
              <w:spacing w:before="240"/>
              <w:jc w:val="both"/>
              <w:rPr>
                <w:rFonts w:ascii="Bookman Old Style" w:hAnsi="Bookman Old Style"/>
                <w:sz w:val="24"/>
                <w:szCs w:val="24"/>
              </w:rPr>
            </w:pPr>
          </w:p>
        </w:tc>
        <w:tc>
          <w:tcPr>
            <w:tcW w:w="3081" w:type="dxa"/>
          </w:tcPr>
          <w:p w:rsidR="00BC069C" w:rsidRPr="00BC069C" w:rsidRDefault="00BC069C" w:rsidP="00BC069C">
            <w:pPr>
              <w:jc w:val="center"/>
              <w:rPr>
                <w:rFonts w:ascii="Bookman Old Style" w:hAnsi="Bookman Old Style"/>
                <w:sz w:val="24"/>
                <w:szCs w:val="24"/>
              </w:rPr>
            </w:pPr>
            <w:r w:rsidRPr="00BC069C">
              <w:rPr>
                <w:rFonts w:ascii="Bookman Old Style" w:hAnsi="Bookman Old Style"/>
                <w:sz w:val="24"/>
                <w:szCs w:val="24"/>
              </w:rPr>
              <w:t>Peristiwa</w:t>
            </w:r>
          </w:p>
          <w:p w:rsidR="00BC069C" w:rsidRPr="00BC069C" w:rsidRDefault="00BC069C" w:rsidP="00BC069C">
            <w:pPr>
              <w:jc w:val="center"/>
              <w:rPr>
                <w:rFonts w:ascii="Bookman Old Style" w:hAnsi="Bookman Old Style"/>
                <w:sz w:val="24"/>
                <w:szCs w:val="24"/>
              </w:rPr>
            </w:pPr>
            <w:r w:rsidRPr="00BC069C">
              <w:rPr>
                <w:rFonts w:ascii="Bookman Old Style" w:hAnsi="Bookman Old Style"/>
                <w:sz w:val="24"/>
                <w:szCs w:val="24"/>
              </w:rPr>
              <w:t>Mahasiswa</w:t>
            </w:r>
          </w:p>
          <w:p w:rsidR="00BC069C" w:rsidRDefault="00BC069C" w:rsidP="00BC069C">
            <w:pPr>
              <w:jc w:val="center"/>
              <w:rPr>
                <w:rFonts w:ascii="Bookman Old Style" w:hAnsi="Bookman Old Style"/>
                <w:sz w:val="24"/>
                <w:szCs w:val="24"/>
              </w:rPr>
            </w:pPr>
            <w:r w:rsidRPr="00BC069C">
              <w:rPr>
                <w:rFonts w:ascii="Bookman Old Style" w:hAnsi="Bookman Old Style"/>
                <w:sz w:val="24"/>
                <w:szCs w:val="24"/>
              </w:rPr>
              <w:t>1978.</w:t>
            </w:r>
          </w:p>
        </w:tc>
        <w:tc>
          <w:tcPr>
            <w:tcW w:w="5508" w:type="dxa"/>
          </w:tcPr>
          <w:p w:rsidR="00BC069C" w:rsidRDefault="00BC069C" w:rsidP="00EB49FD">
            <w:pPr>
              <w:jc w:val="both"/>
              <w:rPr>
                <w:rFonts w:ascii="Bookman Old Style" w:hAnsi="Bookman Old Style"/>
                <w:sz w:val="24"/>
                <w:szCs w:val="24"/>
              </w:rPr>
            </w:pPr>
            <w:r w:rsidRPr="00BC069C">
              <w:rPr>
                <w:rFonts w:ascii="Bookman Old Style" w:hAnsi="Bookman Old Style"/>
                <w:sz w:val="24"/>
                <w:szCs w:val="24"/>
              </w:rPr>
              <w:t>Mahasiswa menggalang sejumlah protes</w:t>
            </w:r>
            <w:r w:rsidR="00EB49FD">
              <w:rPr>
                <w:rFonts w:ascii="Bookman Old Style" w:hAnsi="Bookman Old Style"/>
                <w:sz w:val="24"/>
                <w:szCs w:val="24"/>
              </w:rPr>
              <w:t xml:space="preserve"> </w:t>
            </w:r>
            <w:r w:rsidRPr="00BC069C">
              <w:rPr>
                <w:rFonts w:ascii="Bookman Old Style" w:hAnsi="Bookman Old Style"/>
                <w:sz w:val="24"/>
                <w:szCs w:val="24"/>
              </w:rPr>
              <w:t>yang dilakukan di berbagai kampus di</w:t>
            </w:r>
            <w:r w:rsidR="00EB49FD">
              <w:rPr>
                <w:rFonts w:ascii="Bookman Old Style" w:hAnsi="Bookman Old Style"/>
                <w:sz w:val="24"/>
                <w:szCs w:val="24"/>
              </w:rPr>
              <w:t xml:space="preserve"> </w:t>
            </w:r>
            <w:r w:rsidRPr="00BC069C">
              <w:rPr>
                <w:rFonts w:ascii="Bookman Old Style" w:hAnsi="Bookman Old Style"/>
                <w:sz w:val="24"/>
                <w:szCs w:val="24"/>
              </w:rPr>
              <w:t xml:space="preserve">Indonesia mengecam kepemimpinan </w:t>
            </w:r>
            <w:r w:rsidR="00EB49FD">
              <w:rPr>
                <w:rFonts w:ascii="Bookman Old Style" w:hAnsi="Bookman Old Style"/>
                <w:sz w:val="24"/>
                <w:szCs w:val="24"/>
              </w:rPr>
              <w:t xml:space="preserve"> </w:t>
            </w:r>
            <w:r w:rsidRPr="00BC069C">
              <w:rPr>
                <w:rFonts w:ascii="Bookman Old Style" w:hAnsi="Bookman Old Style"/>
                <w:sz w:val="24"/>
                <w:szCs w:val="24"/>
              </w:rPr>
              <w:t>Presiden Soeharto dan menyatakan agar</w:t>
            </w:r>
            <w:r w:rsidR="00EB49FD">
              <w:rPr>
                <w:rFonts w:ascii="Bookman Old Style" w:hAnsi="Bookman Old Style"/>
                <w:sz w:val="24"/>
                <w:szCs w:val="24"/>
              </w:rPr>
              <w:t xml:space="preserve"> </w:t>
            </w:r>
            <w:r w:rsidRPr="00BC069C">
              <w:rPr>
                <w:rFonts w:ascii="Bookman Old Style" w:hAnsi="Bookman Old Style"/>
                <w:sz w:val="24"/>
                <w:szCs w:val="24"/>
              </w:rPr>
              <w:t>Soeharto tidak lagi menjadi Presiden RI.</w:t>
            </w:r>
            <w:r w:rsidR="00EB49FD">
              <w:rPr>
                <w:rFonts w:ascii="Bookman Old Style" w:hAnsi="Bookman Old Style"/>
                <w:sz w:val="24"/>
                <w:szCs w:val="24"/>
              </w:rPr>
              <w:t xml:space="preserve"> </w:t>
            </w:r>
            <w:r w:rsidRPr="00BC069C">
              <w:rPr>
                <w:rFonts w:ascii="Bookman Old Style" w:hAnsi="Bookman Old Style"/>
                <w:sz w:val="24"/>
                <w:szCs w:val="24"/>
              </w:rPr>
              <w:t>Akibatnya Soeharto kemudian menangkap</w:t>
            </w:r>
            <w:r w:rsidR="00EB49FD">
              <w:rPr>
                <w:rFonts w:ascii="Bookman Old Style" w:hAnsi="Bookman Old Style"/>
                <w:sz w:val="24"/>
                <w:szCs w:val="24"/>
              </w:rPr>
              <w:t xml:space="preserve"> </w:t>
            </w:r>
            <w:r w:rsidRPr="00BC069C">
              <w:rPr>
                <w:rFonts w:ascii="Bookman Old Style" w:hAnsi="Bookman Old Style"/>
                <w:sz w:val="24"/>
                <w:szCs w:val="24"/>
              </w:rPr>
              <w:t>34 orang mahasiswa di berbagai kota di</w:t>
            </w:r>
            <w:r w:rsidR="00EB49FD">
              <w:rPr>
                <w:rFonts w:ascii="Bookman Old Style" w:hAnsi="Bookman Old Style"/>
                <w:sz w:val="24"/>
                <w:szCs w:val="24"/>
              </w:rPr>
              <w:t xml:space="preserve"> </w:t>
            </w:r>
            <w:r w:rsidRPr="00BC069C">
              <w:rPr>
                <w:rFonts w:ascii="Bookman Old Style" w:hAnsi="Bookman Old Style"/>
                <w:sz w:val="24"/>
                <w:szCs w:val="24"/>
              </w:rPr>
              <w:t>Indonesia mulai dari Jakarta, Bandung,</w:t>
            </w:r>
            <w:r w:rsidR="00EB49FD">
              <w:rPr>
                <w:rFonts w:ascii="Bookman Old Style" w:hAnsi="Bookman Old Style"/>
                <w:sz w:val="24"/>
                <w:szCs w:val="24"/>
              </w:rPr>
              <w:t xml:space="preserve"> </w:t>
            </w:r>
            <w:r w:rsidRPr="00BC069C">
              <w:rPr>
                <w:rFonts w:ascii="Bookman Old Style" w:hAnsi="Bookman Old Style"/>
                <w:sz w:val="24"/>
                <w:szCs w:val="24"/>
              </w:rPr>
              <w:t>Palembang, Surabaya, Malang, Ujung</w:t>
            </w:r>
            <w:r w:rsidR="00EB49FD">
              <w:rPr>
                <w:rFonts w:ascii="Bookman Old Style" w:hAnsi="Bookman Old Style"/>
                <w:sz w:val="24"/>
                <w:szCs w:val="24"/>
              </w:rPr>
              <w:t xml:space="preserve"> </w:t>
            </w:r>
            <w:r w:rsidRPr="00BC069C">
              <w:rPr>
                <w:rFonts w:ascii="Bookman Old Style" w:hAnsi="Bookman Old Style"/>
                <w:sz w:val="24"/>
                <w:szCs w:val="24"/>
              </w:rPr>
              <w:t>Pandang dan Yogyakarta. Rata-rata</w:t>
            </w:r>
            <w:r w:rsidR="00EB49FD">
              <w:rPr>
                <w:rFonts w:ascii="Bookman Old Style" w:hAnsi="Bookman Old Style"/>
                <w:sz w:val="24"/>
                <w:szCs w:val="24"/>
              </w:rPr>
              <w:t xml:space="preserve"> </w:t>
            </w:r>
            <w:r w:rsidRPr="00BC069C">
              <w:rPr>
                <w:rFonts w:ascii="Bookman Old Style" w:hAnsi="Bookman Old Style"/>
                <w:sz w:val="24"/>
                <w:szCs w:val="24"/>
              </w:rPr>
              <w:t>mahasiswa ini dipenjara selama 11 bulan</w:t>
            </w:r>
            <w:r w:rsidR="00EB49FD">
              <w:rPr>
                <w:rFonts w:ascii="Bookman Old Style" w:hAnsi="Bookman Old Style"/>
                <w:sz w:val="24"/>
                <w:szCs w:val="24"/>
              </w:rPr>
              <w:t xml:space="preserve"> </w:t>
            </w:r>
            <w:r w:rsidRPr="00BC069C">
              <w:rPr>
                <w:rFonts w:ascii="Bookman Old Style" w:hAnsi="Bookman Old Style"/>
                <w:sz w:val="24"/>
                <w:szCs w:val="24"/>
              </w:rPr>
              <w:t>setelah diadili dengan menggunakan pasal</w:t>
            </w:r>
            <w:r w:rsidR="00EB49FD">
              <w:rPr>
                <w:rFonts w:ascii="Bookman Old Style" w:hAnsi="Bookman Old Style"/>
                <w:sz w:val="24"/>
                <w:szCs w:val="24"/>
              </w:rPr>
              <w:t>-</w:t>
            </w:r>
            <w:r w:rsidRPr="00BC069C">
              <w:rPr>
                <w:rFonts w:ascii="Bookman Old Style" w:hAnsi="Bookman Old Style"/>
                <w:sz w:val="24"/>
                <w:szCs w:val="24"/>
              </w:rPr>
              <w:t>pasal</w:t>
            </w:r>
            <w:r w:rsidR="00EB49FD">
              <w:rPr>
                <w:rFonts w:ascii="Bookman Old Style" w:hAnsi="Bookman Old Style"/>
                <w:sz w:val="24"/>
                <w:szCs w:val="24"/>
              </w:rPr>
              <w:t xml:space="preserve"> </w:t>
            </w:r>
            <w:r w:rsidRPr="00BC069C">
              <w:rPr>
                <w:rFonts w:ascii="Bookman Old Style" w:hAnsi="Bookman Old Style"/>
                <w:sz w:val="24"/>
                <w:szCs w:val="24"/>
              </w:rPr>
              <w:t>haatzaaiartikelen.</w:t>
            </w:r>
          </w:p>
          <w:p w:rsidR="00120260" w:rsidRDefault="00120260" w:rsidP="00EB49FD">
            <w:pPr>
              <w:jc w:val="both"/>
              <w:rPr>
                <w:rFonts w:ascii="Bookman Old Style" w:hAnsi="Bookman Old Style"/>
                <w:sz w:val="24"/>
                <w:szCs w:val="24"/>
              </w:rPr>
            </w:pPr>
          </w:p>
        </w:tc>
      </w:tr>
      <w:tr w:rsidR="00BC069C" w:rsidTr="00BC069C">
        <w:tc>
          <w:tcPr>
            <w:tcW w:w="534" w:type="dxa"/>
          </w:tcPr>
          <w:p w:rsidR="00BC069C" w:rsidRDefault="00BC069C" w:rsidP="00E02AEE">
            <w:pPr>
              <w:jc w:val="both"/>
              <w:rPr>
                <w:rFonts w:ascii="Bookman Old Style" w:hAnsi="Bookman Old Style"/>
                <w:sz w:val="24"/>
                <w:szCs w:val="24"/>
              </w:rPr>
            </w:pPr>
          </w:p>
        </w:tc>
        <w:tc>
          <w:tcPr>
            <w:tcW w:w="3081" w:type="dxa"/>
          </w:tcPr>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Kasus</w:t>
            </w:r>
          </w:p>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Mahasiswa</w:t>
            </w:r>
          </w:p>
          <w:p w:rsidR="00BC069C" w:rsidRDefault="00BC069C" w:rsidP="00120260">
            <w:pPr>
              <w:jc w:val="center"/>
              <w:rPr>
                <w:rFonts w:ascii="Bookman Old Style" w:hAnsi="Bookman Old Style"/>
                <w:sz w:val="24"/>
                <w:szCs w:val="24"/>
              </w:rPr>
            </w:pPr>
            <w:r w:rsidRPr="00BC069C">
              <w:rPr>
                <w:rFonts w:ascii="Bookman Old Style" w:hAnsi="Bookman Old Style"/>
                <w:sz w:val="24"/>
                <w:szCs w:val="24"/>
              </w:rPr>
              <w:t>ITB 1989.</w:t>
            </w:r>
          </w:p>
        </w:tc>
        <w:tc>
          <w:tcPr>
            <w:tcW w:w="5508" w:type="dxa"/>
          </w:tcPr>
          <w:p w:rsidR="00BC069C" w:rsidRPr="00BC069C" w:rsidRDefault="00BC069C" w:rsidP="00BC069C">
            <w:pPr>
              <w:jc w:val="both"/>
              <w:rPr>
                <w:rFonts w:ascii="Bookman Old Style" w:hAnsi="Bookman Old Style"/>
                <w:sz w:val="24"/>
                <w:szCs w:val="24"/>
              </w:rPr>
            </w:pPr>
            <w:r w:rsidRPr="00BC069C">
              <w:rPr>
                <w:rFonts w:ascii="Bookman Old Style" w:hAnsi="Bookman Old Style"/>
                <w:sz w:val="24"/>
                <w:szCs w:val="24"/>
              </w:rPr>
              <w:t>Kasus ini sering disebut dengan insiden</w:t>
            </w:r>
            <w:r w:rsidR="00120260">
              <w:rPr>
                <w:rFonts w:ascii="Bookman Old Style" w:hAnsi="Bookman Old Style"/>
                <w:sz w:val="24"/>
                <w:szCs w:val="24"/>
              </w:rPr>
              <w:t xml:space="preserve"> </w:t>
            </w:r>
            <w:r w:rsidRPr="00BC069C">
              <w:rPr>
                <w:rFonts w:ascii="Bookman Old Style" w:hAnsi="Bookman Old Style"/>
                <w:sz w:val="24"/>
                <w:szCs w:val="24"/>
              </w:rPr>
              <w:t>Bandung 5 Agustus 1989. Enam orang</w:t>
            </w:r>
            <w:r w:rsidR="00120260">
              <w:rPr>
                <w:rFonts w:ascii="Bookman Old Style" w:hAnsi="Bookman Old Style"/>
                <w:sz w:val="24"/>
                <w:szCs w:val="24"/>
              </w:rPr>
              <w:t xml:space="preserve"> </w:t>
            </w:r>
            <w:r w:rsidRPr="00BC069C">
              <w:rPr>
                <w:rFonts w:ascii="Bookman Old Style" w:hAnsi="Bookman Old Style"/>
                <w:sz w:val="24"/>
                <w:szCs w:val="24"/>
              </w:rPr>
              <w:t>mahasiswa Institut Teknologi Bandung</w:t>
            </w:r>
            <w:r w:rsidR="00120260">
              <w:rPr>
                <w:rFonts w:ascii="Bookman Old Style" w:hAnsi="Bookman Old Style"/>
                <w:sz w:val="24"/>
                <w:szCs w:val="24"/>
              </w:rPr>
              <w:t xml:space="preserve"> </w:t>
            </w:r>
            <w:r w:rsidRPr="00BC069C">
              <w:rPr>
                <w:rFonts w:ascii="Bookman Old Style" w:hAnsi="Bookman Old Style"/>
                <w:sz w:val="24"/>
                <w:szCs w:val="24"/>
              </w:rPr>
              <w:t>(ITB), yakni: Arnold Purba, Muh. Fadjroel</w:t>
            </w:r>
            <w:r w:rsidR="00120260">
              <w:rPr>
                <w:rFonts w:ascii="Bookman Old Style" w:hAnsi="Bookman Old Style"/>
                <w:sz w:val="24"/>
                <w:szCs w:val="24"/>
              </w:rPr>
              <w:t xml:space="preserve"> </w:t>
            </w:r>
            <w:r w:rsidRPr="00BC069C">
              <w:rPr>
                <w:rFonts w:ascii="Bookman Old Style" w:hAnsi="Bookman Old Style"/>
                <w:sz w:val="24"/>
                <w:szCs w:val="24"/>
              </w:rPr>
              <w:t>Rahman, Jumhur Hidayat, Enin Supriyanto,</w:t>
            </w:r>
          </w:p>
          <w:p w:rsidR="00BC069C" w:rsidRPr="00BC069C" w:rsidRDefault="00BC069C" w:rsidP="00BC069C">
            <w:pPr>
              <w:jc w:val="both"/>
              <w:rPr>
                <w:rFonts w:ascii="Bookman Old Style" w:hAnsi="Bookman Old Style"/>
                <w:sz w:val="24"/>
                <w:szCs w:val="24"/>
              </w:rPr>
            </w:pPr>
            <w:r w:rsidRPr="00BC069C">
              <w:rPr>
                <w:rFonts w:ascii="Bookman Old Style" w:hAnsi="Bookman Old Style"/>
                <w:sz w:val="24"/>
                <w:szCs w:val="24"/>
              </w:rPr>
              <w:t>Ammarsyah dan Bambang Sugianto</w:t>
            </w:r>
            <w:r w:rsidR="00120260">
              <w:rPr>
                <w:rFonts w:ascii="Bookman Old Style" w:hAnsi="Bookman Old Style"/>
                <w:sz w:val="24"/>
                <w:szCs w:val="24"/>
              </w:rPr>
              <w:t xml:space="preserve"> </w:t>
            </w:r>
            <w:r w:rsidRPr="00BC069C">
              <w:rPr>
                <w:rFonts w:ascii="Bookman Old Style" w:hAnsi="Bookman Old Style"/>
                <w:sz w:val="24"/>
                <w:szCs w:val="24"/>
              </w:rPr>
              <w:t>ditangkap dan dikenai Pasal 154, Pasal 207,</w:t>
            </w:r>
          </w:p>
          <w:p w:rsidR="00BC069C" w:rsidRDefault="00BC069C" w:rsidP="00BC069C">
            <w:pPr>
              <w:jc w:val="both"/>
              <w:rPr>
                <w:rFonts w:ascii="Bookman Old Style" w:hAnsi="Bookman Old Style"/>
                <w:sz w:val="24"/>
                <w:szCs w:val="24"/>
              </w:rPr>
            </w:pPr>
            <w:r w:rsidRPr="00BC069C">
              <w:rPr>
                <w:rFonts w:ascii="Bookman Old Style" w:hAnsi="Bookman Old Style"/>
                <w:sz w:val="24"/>
                <w:szCs w:val="24"/>
              </w:rPr>
              <w:t>dan Pasal 208 KUHP.</w:t>
            </w:r>
            <w:r w:rsidR="00120260">
              <w:rPr>
                <w:rFonts w:ascii="Bookman Old Style" w:hAnsi="Bookman Old Style"/>
                <w:sz w:val="24"/>
                <w:szCs w:val="24"/>
              </w:rPr>
              <w:t xml:space="preserve"> (pada kasus ini yang mengalami dekriminalisasi adalah pasal 154)</w:t>
            </w:r>
          </w:p>
          <w:p w:rsidR="00BC069C" w:rsidRDefault="00BC069C" w:rsidP="00BC069C">
            <w:pPr>
              <w:jc w:val="both"/>
              <w:rPr>
                <w:rFonts w:ascii="Bookman Old Style" w:hAnsi="Bookman Old Style"/>
                <w:sz w:val="24"/>
                <w:szCs w:val="24"/>
              </w:rPr>
            </w:pPr>
          </w:p>
        </w:tc>
      </w:tr>
      <w:tr w:rsidR="00BC069C" w:rsidTr="00BC069C">
        <w:tc>
          <w:tcPr>
            <w:tcW w:w="534" w:type="dxa"/>
          </w:tcPr>
          <w:p w:rsidR="00BC069C" w:rsidRDefault="00BC069C" w:rsidP="00E02AEE">
            <w:pPr>
              <w:jc w:val="both"/>
              <w:rPr>
                <w:rFonts w:ascii="Bookman Old Style" w:hAnsi="Bookman Old Style"/>
                <w:sz w:val="24"/>
                <w:szCs w:val="24"/>
              </w:rPr>
            </w:pPr>
          </w:p>
        </w:tc>
        <w:tc>
          <w:tcPr>
            <w:tcW w:w="3081" w:type="dxa"/>
          </w:tcPr>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Kasus FAMI</w:t>
            </w:r>
          </w:p>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(Front Aksi</w:t>
            </w:r>
          </w:p>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Mahasiswa</w:t>
            </w:r>
          </w:p>
          <w:p w:rsidR="00BC069C" w:rsidRDefault="00BC069C" w:rsidP="00120260">
            <w:pPr>
              <w:jc w:val="center"/>
              <w:rPr>
                <w:rFonts w:ascii="Bookman Old Style" w:hAnsi="Bookman Old Style"/>
                <w:sz w:val="24"/>
                <w:szCs w:val="24"/>
              </w:rPr>
            </w:pPr>
            <w:r w:rsidRPr="00BC069C">
              <w:rPr>
                <w:rFonts w:ascii="Bookman Old Style" w:hAnsi="Bookman Old Style"/>
                <w:sz w:val="24"/>
                <w:szCs w:val="24"/>
              </w:rPr>
              <w:t>Indonesia)</w:t>
            </w:r>
          </w:p>
        </w:tc>
        <w:tc>
          <w:tcPr>
            <w:tcW w:w="5508" w:type="dxa"/>
          </w:tcPr>
          <w:p w:rsidR="00BC069C" w:rsidRDefault="00BC069C" w:rsidP="00120260">
            <w:pPr>
              <w:jc w:val="both"/>
              <w:rPr>
                <w:rFonts w:ascii="Bookman Old Style" w:hAnsi="Bookman Old Style"/>
                <w:sz w:val="24"/>
                <w:szCs w:val="24"/>
              </w:rPr>
            </w:pPr>
            <w:r w:rsidRPr="00BC069C">
              <w:rPr>
                <w:rFonts w:ascii="Bookman Old Style" w:hAnsi="Bookman Old Style"/>
                <w:sz w:val="24"/>
                <w:szCs w:val="24"/>
              </w:rPr>
              <w:t>Pada bulan Desember tahun 1992, sejumlah</w:t>
            </w:r>
            <w:r w:rsidR="00120260">
              <w:rPr>
                <w:rFonts w:ascii="Bookman Old Style" w:hAnsi="Bookman Old Style"/>
                <w:sz w:val="24"/>
                <w:szCs w:val="24"/>
              </w:rPr>
              <w:t xml:space="preserve"> </w:t>
            </w:r>
            <w:r w:rsidRPr="00BC069C">
              <w:rPr>
                <w:rFonts w:ascii="Bookman Old Style" w:hAnsi="Bookman Old Style"/>
                <w:sz w:val="24"/>
                <w:szCs w:val="24"/>
              </w:rPr>
              <w:t>mahasiswa tergabung dalam FAMI</w:t>
            </w:r>
            <w:r w:rsidR="00120260">
              <w:rPr>
                <w:rFonts w:ascii="Bookman Old Style" w:hAnsi="Bookman Old Style"/>
                <w:sz w:val="24"/>
                <w:szCs w:val="24"/>
              </w:rPr>
              <w:t xml:space="preserve"> </w:t>
            </w:r>
            <w:r w:rsidRPr="00BC069C">
              <w:rPr>
                <w:rFonts w:ascii="Bookman Old Style" w:hAnsi="Bookman Old Style"/>
                <w:sz w:val="24"/>
                <w:szCs w:val="24"/>
              </w:rPr>
              <w:t>menggelar aksi protes di gedung DPR. Saat</w:t>
            </w:r>
            <w:r w:rsidR="00120260">
              <w:rPr>
                <w:rFonts w:ascii="Bookman Old Style" w:hAnsi="Bookman Old Style"/>
                <w:sz w:val="24"/>
                <w:szCs w:val="24"/>
              </w:rPr>
              <w:t xml:space="preserve"> </w:t>
            </w:r>
            <w:r w:rsidRPr="00BC069C">
              <w:rPr>
                <w:rFonts w:ascii="Bookman Old Style" w:hAnsi="Bookman Old Style"/>
                <w:sz w:val="24"/>
                <w:szCs w:val="24"/>
              </w:rPr>
              <w:t>itu, 21 mahasiwa ditangkap dan diadili untuk</w:t>
            </w:r>
            <w:r w:rsidR="00120260">
              <w:rPr>
                <w:rFonts w:ascii="Bookman Old Style" w:hAnsi="Bookman Old Style"/>
                <w:sz w:val="24"/>
                <w:szCs w:val="24"/>
              </w:rPr>
              <w:t xml:space="preserve"> </w:t>
            </w:r>
            <w:r w:rsidRPr="00BC069C">
              <w:rPr>
                <w:rFonts w:ascii="Bookman Old Style" w:hAnsi="Bookman Old Style"/>
                <w:sz w:val="24"/>
                <w:szCs w:val="24"/>
              </w:rPr>
              <w:t>kasus tersebut.</w:t>
            </w:r>
          </w:p>
          <w:p w:rsidR="00120260" w:rsidRDefault="00120260" w:rsidP="00120260">
            <w:pPr>
              <w:jc w:val="both"/>
              <w:rPr>
                <w:rFonts w:ascii="Bookman Old Style" w:hAnsi="Bookman Old Style"/>
                <w:sz w:val="24"/>
                <w:szCs w:val="24"/>
              </w:rPr>
            </w:pPr>
          </w:p>
        </w:tc>
      </w:tr>
      <w:tr w:rsidR="00BC069C" w:rsidTr="00BC069C">
        <w:tc>
          <w:tcPr>
            <w:tcW w:w="534" w:type="dxa"/>
          </w:tcPr>
          <w:p w:rsidR="00BC069C" w:rsidRDefault="00BC069C" w:rsidP="00E02AEE">
            <w:pPr>
              <w:jc w:val="both"/>
              <w:rPr>
                <w:rFonts w:ascii="Bookman Old Style" w:hAnsi="Bookman Old Style"/>
                <w:sz w:val="24"/>
                <w:szCs w:val="24"/>
              </w:rPr>
            </w:pPr>
          </w:p>
        </w:tc>
        <w:tc>
          <w:tcPr>
            <w:tcW w:w="3081" w:type="dxa"/>
          </w:tcPr>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Protes-protes tersebut ditandai dengan fragmen kesenian yang menggambarkan</w:t>
            </w:r>
          </w:p>
          <w:p w:rsidR="00BC069C" w:rsidRDefault="00BC069C" w:rsidP="00120260">
            <w:pPr>
              <w:jc w:val="center"/>
              <w:rPr>
                <w:rFonts w:ascii="Bookman Old Style" w:hAnsi="Bookman Old Style"/>
                <w:sz w:val="24"/>
                <w:szCs w:val="24"/>
              </w:rPr>
            </w:pPr>
            <w:r w:rsidRPr="00BC069C">
              <w:rPr>
                <w:rFonts w:ascii="Bookman Old Style" w:hAnsi="Bookman Old Style"/>
                <w:sz w:val="24"/>
                <w:szCs w:val="24"/>
              </w:rPr>
              <w:t>kejatuhan Megawati</w:t>
            </w:r>
          </w:p>
        </w:tc>
        <w:tc>
          <w:tcPr>
            <w:tcW w:w="5508" w:type="dxa"/>
          </w:tcPr>
          <w:p w:rsidR="00BC069C" w:rsidRDefault="00BC069C" w:rsidP="00120260">
            <w:pPr>
              <w:jc w:val="both"/>
              <w:rPr>
                <w:rFonts w:ascii="Bookman Old Style" w:hAnsi="Bookman Old Style"/>
                <w:sz w:val="24"/>
                <w:szCs w:val="24"/>
              </w:rPr>
            </w:pPr>
            <w:r w:rsidRPr="00BC069C">
              <w:rPr>
                <w:rFonts w:ascii="Bookman Old Style" w:hAnsi="Bookman Old Style"/>
                <w:sz w:val="24"/>
                <w:szCs w:val="24"/>
              </w:rPr>
              <w:t>Di bulan Juli dan Agustus 2002, terjadi sejumlah penangkapan para</w:t>
            </w:r>
            <w:r w:rsidR="00120260">
              <w:rPr>
                <w:rFonts w:ascii="Bookman Old Style" w:hAnsi="Bookman Old Style"/>
                <w:sz w:val="24"/>
                <w:szCs w:val="24"/>
              </w:rPr>
              <w:t xml:space="preserve"> </w:t>
            </w:r>
            <w:r w:rsidRPr="00BC069C">
              <w:rPr>
                <w:rFonts w:ascii="Bookman Old Style" w:hAnsi="Bookman Old Style"/>
                <w:sz w:val="24"/>
                <w:szCs w:val="24"/>
              </w:rPr>
              <w:t>aktivis politik di Jakarta. Individu-individu tersebut ditangkap</w:t>
            </w:r>
            <w:r w:rsidR="00120260">
              <w:rPr>
                <w:rFonts w:ascii="Bookman Old Style" w:hAnsi="Bookman Old Style"/>
                <w:sz w:val="24"/>
                <w:szCs w:val="24"/>
              </w:rPr>
              <w:t xml:space="preserve"> </w:t>
            </w:r>
            <w:r w:rsidRPr="00BC069C">
              <w:rPr>
                <w:rFonts w:ascii="Bookman Old Style" w:hAnsi="Bookman Old Style"/>
                <w:sz w:val="24"/>
                <w:szCs w:val="24"/>
              </w:rPr>
              <w:t>semata-mata karena mengekspresikan pandangan politik mereka</w:t>
            </w:r>
            <w:r w:rsidR="00120260">
              <w:rPr>
                <w:rFonts w:ascii="Bookman Old Style" w:hAnsi="Bookman Old Style"/>
                <w:sz w:val="24"/>
                <w:szCs w:val="24"/>
              </w:rPr>
              <w:t xml:space="preserve"> </w:t>
            </w:r>
            <w:r w:rsidRPr="00BC069C">
              <w:rPr>
                <w:rFonts w:ascii="Bookman Old Style" w:hAnsi="Bookman Old Style"/>
                <w:sz w:val="24"/>
                <w:szCs w:val="24"/>
              </w:rPr>
              <w:t>yang anti kekerasan pada sejumlah aksi damai di ibukota.</w:t>
            </w:r>
            <w:r w:rsidR="00120260">
              <w:rPr>
                <w:rFonts w:ascii="Bookman Old Style" w:hAnsi="Bookman Old Style"/>
                <w:sz w:val="24"/>
                <w:szCs w:val="24"/>
              </w:rPr>
              <w:t xml:space="preserve"> </w:t>
            </w:r>
            <w:r w:rsidRPr="00BC069C">
              <w:rPr>
                <w:rFonts w:ascii="Bookman Old Style" w:hAnsi="Bookman Old Style"/>
                <w:sz w:val="24"/>
                <w:szCs w:val="24"/>
              </w:rPr>
              <w:t>Penangkapan tersebut menindaklanjuti serangkaian demo anti</w:t>
            </w:r>
            <w:r w:rsidR="00120260">
              <w:rPr>
                <w:rFonts w:ascii="Bookman Old Style" w:hAnsi="Bookman Old Style"/>
                <w:sz w:val="24"/>
                <w:szCs w:val="24"/>
              </w:rPr>
              <w:t xml:space="preserve"> </w:t>
            </w:r>
            <w:r w:rsidRPr="00BC069C">
              <w:rPr>
                <w:rFonts w:ascii="Bookman Old Style" w:hAnsi="Bookman Old Style"/>
                <w:sz w:val="24"/>
                <w:szCs w:val="24"/>
              </w:rPr>
              <w:t>pemerintah dan anti Megawati yang difokuskan pada ketidakpuasan</w:t>
            </w:r>
            <w:r w:rsidR="00120260">
              <w:rPr>
                <w:rFonts w:ascii="Bookman Old Style" w:hAnsi="Bookman Old Style"/>
                <w:sz w:val="24"/>
                <w:szCs w:val="24"/>
              </w:rPr>
              <w:t xml:space="preserve"> </w:t>
            </w:r>
            <w:r w:rsidRPr="00BC069C">
              <w:rPr>
                <w:rFonts w:ascii="Bookman Old Style" w:hAnsi="Bookman Old Style"/>
                <w:sz w:val="24"/>
                <w:szCs w:val="24"/>
              </w:rPr>
              <w:t>terhadap naiknya harga minyak dan beras serta ambruknya</w:t>
            </w:r>
            <w:r w:rsidR="00120260">
              <w:rPr>
                <w:rFonts w:ascii="Bookman Old Style" w:hAnsi="Bookman Old Style"/>
                <w:sz w:val="24"/>
                <w:szCs w:val="24"/>
              </w:rPr>
              <w:t xml:space="preserve"> </w:t>
            </w:r>
            <w:r w:rsidRPr="00BC069C">
              <w:rPr>
                <w:rFonts w:ascii="Bookman Old Style" w:hAnsi="Bookman Old Style"/>
                <w:sz w:val="24"/>
                <w:szCs w:val="24"/>
              </w:rPr>
              <w:t>perekonomian Indonesia secara umum</w:t>
            </w:r>
            <w:r>
              <w:rPr>
                <w:rFonts w:ascii="Bookman Old Style" w:hAnsi="Bookman Old Style"/>
                <w:sz w:val="24"/>
                <w:szCs w:val="24"/>
              </w:rPr>
              <w:t xml:space="preserve"> </w:t>
            </w:r>
            <w:r w:rsidRPr="00BC069C">
              <w:rPr>
                <w:rFonts w:ascii="Bookman Old Style" w:hAnsi="Bookman Old Style"/>
                <w:sz w:val="24"/>
                <w:szCs w:val="24"/>
              </w:rPr>
              <w:t>Sistematika penangkapan para pendemo tampaknya didukung oleh</w:t>
            </w:r>
            <w:r w:rsidR="00120260">
              <w:rPr>
                <w:rFonts w:ascii="Bookman Old Style" w:hAnsi="Bookman Old Style"/>
                <w:sz w:val="24"/>
                <w:szCs w:val="24"/>
              </w:rPr>
              <w:t xml:space="preserve"> </w:t>
            </w:r>
            <w:r w:rsidRPr="00BC069C">
              <w:rPr>
                <w:rFonts w:ascii="Bookman Old Style" w:hAnsi="Bookman Old Style"/>
                <w:sz w:val="24"/>
                <w:szCs w:val="24"/>
              </w:rPr>
              <w:t>pernyataan Megawati yang dibuat pada tanggal 8 Juli 2002, ketika</w:t>
            </w:r>
            <w:r w:rsidR="00120260">
              <w:rPr>
                <w:rFonts w:ascii="Bookman Old Style" w:hAnsi="Bookman Old Style"/>
                <w:sz w:val="24"/>
                <w:szCs w:val="24"/>
              </w:rPr>
              <w:t xml:space="preserve"> </w:t>
            </w:r>
            <w:r w:rsidRPr="00BC069C">
              <w:rPr>
                <w:rFonts w:ascii="Bookman Old Style" w:hAnsi="Bookman Old Style"/>
                <w:sz w:val="24"/>
                <w:szCs w:val="24"/>
              </w:rPr>
              <w:t>Mega secara terbuka mengutuk siapa saja yang menentang</w:t>
            </w:r>
            <w:r w:rsidR="00120260">
              <w:rPr>
                <w:rFonts w:ascii="Bookman Old Style" w:hAnsi="Bookman Old Style"/>
                <w:sz w:val="24"/>
                <w:szCs w:val="24"/>
              </w:rPr>
              <w:t xml:space="preserve"> </w:t>
            </w:r>
            <w:r w:rsidRPr="00BC069C">
              <w:rPr>
                <w:rFonts w:ascii="Bookman Old Style" w:hAnsi="Bookman Old Style"/>
                <w:sz w:val="24"/>
                <w:szCs w:val="24"/>
              </w:rPr>
              <w:t>pemerintah.</w:t>
            </w:r>
          </w:p>
          <w:p w:rsidR="00120260" w:rsidRDefault="00120260" w:rsidP="00120260">
            <w:pPr>
              <w:jc w:val="both"/>
              <w:rPr>
                <w:rFonts w:ascii="Bookman Old Style" w:hAnsi="Bookman Old Style"/>
                <w:sz w:val="24"/>
                <w:szCs w:val="24"/>
              </w:rPr>
            </w:pPr>
          </w:p>
        </w:tc>
      </w:tr>
      <w:tr w:rsidR="00BC069C" w:rsidTr="00BC069C">
        <w:tc>
          <w:tcPr>
            <w:tcW w:w="534" w:type="dxa"/>
          </w:tcPr>
          <w:p w:rsidR="00BC069C" w:rsidRDefault="00BC069C" w:rsidP="00E02AEE">
            <w:pPr>
              <w:jc w:val="both"/>
              <w:rPr>
                <w:rFonts w:ascii="Bookman Old Style" w:hAnsi="Bookman Old Style"/>
                <w:sz w:val="24"/>
                <w:szCs w:val="24"/>
              </w:rPr>
            </w:pPr>
          </w:p>
        </w:tc>
        <w:tc>
          <w:tcPr>
            <w:tcW w:w="3081" w:type="dxa"/>
          </w:tcPr>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Bai Harkat Firdaus,</w:t>
            </w:r>
          </w:p>
          <w:p w:rsidR="00BC069C" w:rsidRDefault="00BC069C" w:rsidP="00120260">
            <w:pPr>
              <w:jc w:val="center"/>
              <w:rPr>
                <w:rFonts w:ascii="Bookman Old Style" w:hAnsi="Bookman Old Style"/>
                <w:sz w:val="24"/>
                <w:szCs w:val="24"/>
              </w:rPr>
            </w:pPr>
            <w:r w:rsidRPr="00BC069C">
              <w:rPr>
                <w:rFonts w:ascii="Bookman Old Style" w:hAnsi="Bookman Old Style"/>
                <w:sz w:val="24"/>
                <w:szCs w:val="24"/>
              </w:rPr>
              <w:t>mahasiswa Universitas Islam Negeri Sunan Kalijaga</w:t>
            </w:r>
          </w:p>
        </w:tc>
        <w:tc>
          <w:tcPr>
            <w:tcW w:w="5508" w:type="dxa"/>
          </w:tcPr>
          <w:p w:rsidR="00BC069C" w:rsidRDefault="00BC069C" w:rsidP="00120260">
            <w:pPr>
              <w:jc w:val="both"/>
              <w:rPr>
                <w:rFonts w:ascii="Bookman Old Style" w:hAnsi="Bookman Old Style"/>
                <w:sz w:val="24"/>
                <w:szCs w:val="24"/>
              </w:rPr>
            </w:pPr>
            <w:r w:rsidRPr="00BC069C">
              <w:rPr>
                <w:rFonts w:ascii="Bookman Old Style" w:hAnsi="Bookman Old Style"/>
                <w:sz w:val="24"/>
                <w:szCs w:val="24"/>
              </w:rPr>
              <w:t>Di masa jabatan Presiden Susilo Bambang Yudhoyono (SBY),</w:t>
            </w:r>
            <w:r w:rsidR="00120260">
              <w:rPr>
                <w:rFonts w:ascii="Bookman Old Style" w:hAnsi="Bookman Old Style"/>
                <w:sz w:val="24"/>
                <w:szCs w:val="24"/>
              </w:rPr>
              <w:t xml:space="preserve"> </w:t>
            </w:r>
            <w:r w:rsidRPr="00BC069C">
              <w:rPr>
                <w:rFonts w:ascii="Bookman Old Style" w:hAnsi="Bookman Old Style"/>
                <w:sz w:val="24"/>
                <w:szCs w:val="24"/>
              </w:rPr>
              <w:t>kebijakan penangkapan terhadap pelaku yang dituduh menghina</w:t>
            </w:r>
            <w:r w:rsidR="00120260">
              <w:rPr>
                <w:rFonts w:ascii="Bookman Old Style" w:hAnsi="Bookman Old Style"/>
                <w:sz w:val="24"/>
                <w:szCs w:val="24"/>
              </w:rPr>
              <w:t xml:space="preserve"> </w:t>
            </w:r>
            <w:r w:rsidRPr="00BC069C">
              <w:rPr>
                <w:rFonts w:ascii="Bookman Old Style" w:hAnsi="Bookman Old Style"/>
                <w:sz w:val="24"/>
                <w:szCs w:val="24"/>
              </w:rPr>
              <w:t xml:space="preserve">Presiden dan Wakil Presiden berdasarkan pasal-pasal tersebut masih </w:t>
            </w:r>
            <w:r w:rsidR="00120260">
              <w:rPr>
                <w:rFonts w:ascii="Bookman Old Style" w:hAnsi="Bookman Old Style"/>
                <w:sz w:val="24"/>
                <w:szCs w:val="24"/>
              </w:rPr>
              <w:t xml:space="preserve"> </w:t>
            </w:r>
            <w:r w:rsidRPr="00BC069C">
              <w:rPr>
                <w:rFonts w:ascii="Bookman Old Style" w:hAnsi="Bookman Old Style"/>
                <w:sz w:val="24"/>
                <w:szCs w:val="24"/>
              </w:rPr>
              <w:t>kerap dijalankan. Misalnya, pada tahun 2004, Bai Harkat Firdaus,</w:t>
            </w:r>
            <w:r w:rsidR="00120260">
              <w:rPr>
                <w:rFonts w:ascii="Bookman Old Style" w:hAnsi="Bookman Old Style"/>
                <w:sz w:val="24"/>
                <w:szCs w:val="24"/>
              </w:rPr>
              <w:t xml:space="preserve"> </w:t>
            </w:r>
            <w:r w:rsidRPr="00BC069C">
              <w:rPr>
                <w:rFonts w:ascii="Bookman Old Style" w:hAnsi="Bookman Old Style"/>
                <w:sz w:val="24"/>
                <w:szCs w:val="24"/>
              </w:rPr>
              <w:t>mahasiswa Universitas Islam Negeri Sunan Kalijaga (2004) membakar</w:t>
            </w:r>
            <w:r w:rsidR="00120260">
              <w:rPr>
                <w:rFonts w:ascii="Bookman Old Style" w:hAnsi="Bookman Old Style"/>
                <w:sz w:val="24"/>
                <w:szCs w:val="24"/>
              </w:rPr>
              <w:t xml:space="preserve"> </w:t>
            </w:r>
            <w:r w:rsidRPr="00BC069C">
              <w:rPr>
                <w:rFonts w:ascii="Bookman Old Style" w:hAnsi="Bookman Old Style"/>
                <w:sz w:val="24"/>
                <w:szCs w:val="24"/>
              </w:rPr>
              <w:t>foto Soesilo Bambang Yudhoyono dan Jusuf Kalla dalam sebuah</w:t>
            </w:r>
            <w:r w:rsidR="00120260">
              <w:rPr>
                <w:rFonts w:ascii="Bookman Old Style" w:hAnsi="Bookman Old Style"/>
                <w:sz w:val="24"/>
                <w:szCs w:val="24"/>
              </w:rPr>
              <w:t xml:space="preserve"> </w:t>
            </w:r>
            <w:r w:rsidRPr="00BC069C">
              <w:rPr>
                <w:rFonts w:ascii="Bookman Old Style" w:hAnsi="Bookman Old Style"/>
                <w:sz w:val="24"/>
                <w:szCs w:val="24"/>
              </w:rPr>
              <w:t>Penyampaian Pendapat di Jakarta, dan dihukum 5 bulan penjara.</w:t>
            </w:r>
          </w:p>
          <w:p w:rsidR="00120260" w:rsidRDefault="00120260" w:rsidP="00120260">
            <w:pPr>
              <w:jc w:val="both"/>
              <w:rPr>
                <w:rFonts w:ascii="Bookman Old Style" w:hAnsi="Bookman Old Style"/>
                <w:sz w:val="24"/>
                <w:szCs w:val="24"/>
              </w:rPr>
            </w:pPr>
          </w:p>
        </w:tc>
      </w:tr>
      <w:tr w:rsidR="00BC069C" w:rsidTr="00BC069C">
        <w:tc>
          <w:tcPr>
            <w:tcW w:w="534" w:type="dxa"/>
          </w:tcPr>
          <w:p w:rsidR="00BC069C" w:rsidRDefault="00BC069C" w:rsidP="00E02AEE">
            <w:pPr>
              <w:jc w:val="both"/>
              <w:rPr>
                <w:rFonts w:ascii="Bookman Old Style" w:hAnsi="Bookman Old Style"/>
                <w:sz w:val="24"/>
                <w:szCs w:val="24"/>
              </w:rPr>
            </w:pPr>
          </w:p>
        </w:tc>
        <w:tc>
          <w:tcPr>
            <w:tcW w:w="3081" w:type="dxa"/>
          </w:tcPr>
          <w:p w:rsidR="00BC069C" w:rsidRPr="00BC069C" w:rsidRDefault="00BC069C" w:rsidP="00120260">
            <w:pPr>
              <w:jc w:val="center"/>
              <w:rPr>
                <w:rFonts w:ascii="Bookman Old Style" w:hAnsi="Bookman Old Style"/>
                <w:sz w:val="24"/>
                <w:szCs w:val="24"/>
              </w:rPr>
            </w:pPr>
            <w:r w:rsidRPr="00BC069C">
              <w:rPr>
                <w:rFonts w:ascii="Bookman Old Style" w:hAnsi="Bookman Old Style"/>
                <w:sz w:val="24"/>
                <w:szCs w:val="24"/>
              </w:rPr>
              <w:t>Pada</w:t>
            </w:r>
          </w:p>
          <w:p w:rsidR="00BC069C" w:rsidRDefault="00BC069C" w:rsidP="00120260">
            <w:pPr>
              <w:jc w:val="center"/>
              <w:rPr>
                <w:rFonts w:ascii="Bookman Old Style" w:hAnsi="Bookman Old Style"/>
                <w:sz w:val="24"/>
                <w:szCs w:val="24"/>
              </w:rPr>
            </w:pPr>
            <w:r w:rsidRPr="00BC069C">
              <w:rPr>
                <w:rFonts w:ascii="Bookman Old Style" w:hAnsi="Bookman Old Style"/>
                <w:sz w:val="24"/>
                <w:szCs w:val="24"/>
              </w:rPr>
              <w:t>tahun 2005, I Wayan Suardana</w:t>
            </w:r>
          </w:p>
        </w:tc>
        <w:tc>
          <w:tcPr>
            <w:tcW w:w="5508" w:type="dxa"/>
          </w:tcPr>
          <w:p w:rsidR="00BC069C" w:rsidRDefault="00BC069C" w:rsidP="00120260">
            <w:pPr>
              <w:jc w:val="both"/>
              <w:rPr>
                <w:rFonts w:ascii="Bookman Old Style" w:hAnsi="Bookman Old Style"/>
                <w:sz w:val="24"/>
                <w:szCs w:val="24"/>
              </w:rPr>
            </w:pPr>
            <w:r w:rsidRPr="00BC069C">
              <w:rPr>
                <w:rFonts w:ascii="Bookman Old Style" w:hAnsi="Bookman Old Style"/>
                <w:sz w:val="24"/>
                <w:szCs w:val="24"/>
              </w:rPr>
              <w:t>Ketua Perhimpunan Bantuan Hukum</w:t>
            </w:r>
            <w:r w:rsidR="00120260">
              <w:rPr>
                <w:rFonts w:ascii="Bookman Old Style" w:hAnsi="Bookman Old Style"/>
                <w:sz w:val="24"/>
                <w:szCs w:val="24"/>
              </w:rPr>
              <w:t xml:space="preserve"> </w:t>
            </w:r>
            <w:r w:rsidRPr="00BC069C">
              <w:rPr>
                <w:rFonts w:ascii="Bookman Old Style" w:hAnsi="Bookman Old Style"/>
                <w:sz w:val="24"/>
                <w:szCs w:val="24"/>
              </w:rPr>
              <w:t>dan HAM Indonesia (PBHI) Bali dalam sebuah Penyampaian Pendapat</w:t>
            </w:r>
            <w:r w:rsidR="00120260">
              <w:rPr>
                <w:rFonts w:ascii="Bookman Old Style" w:hAnsi="Bookman Old Style"/>
                <w:sz w:val="24"/>
                <w:szCs w:val="24"/>
              </w:rPr>
              <w:t xml:space="preserve"> </w:t>
            </w:r>
            <w:r w:rsidRPr="00BC069C">
              <w:rPr>
                <w:rFonts w:ascii="Bookman Old Style" w:hAnsi="Bookman Old Style"/>
                <w:sz w:val="24"/>
                <w:szCs w:val="24"/>
              </w:rPr>
              <w:t>tentang kenaikan harga BBM juga dihukum 6 bulan penjara.</w:t>
            </w:r>
          </w:p>
        </w:tc>
      </w:tr>
    </w:tbl>
    <w:p w:rsidR="009F7B8E" w:rsidRDefault="009F7B8E" w:rsidP="00EB49FD">
      <w:pPr>
        <w:spacing w:after="0"/>
        <w:ind w:left="1582" w:hanging="1582"/>
        <w:jc w:val="both"/>
        <w:rPr>
          <w:rFonts w:ascii="Bookman Old Style" w:hAnsi="Bookman Old Style"/>
          <w:sz w:val="24"/>
          <w:szCs w:val="24"/>
        </w:rPr>
      </w:pPr>
    </w:p>
    <w:p w:rsidR="00BC069C" w:rsidRDefault="00EB49FD" w:rsidP="00EB49FD">
      <w:pPr>
        <w:spacing w:after="0"/>
        <w:ind w:left="1582" w:hanging="1582"/>
        <w:jc w:val="both"/>
        <w:rPr>
          <w:rFonts w:ascii="Bookman Old Style" w:hAnsi="Bookman Old Style"/>
          <w:sz w:val="24"/>
          <w:szCs w:val="24"/>
        </w:rPr>
      </w:pPr>
      <w:r>
        <w:rPr>
          <w:rFonts w:ascii="Bookman Old Style" w:hAnsi="Bookman Old Style"/>
          <w:sz w:val="24"/>
          <w:szCs w:val="24"/>
        </w:rPr>
        <w:t>Sumber : (</w:t>
      </w:r>
      <w:hyperlink r:id="rId9" w:history="1">
        <w:r w:rsidRPr="00B50770">
          <w:rPr>
            <w:rStyle w:val="Hyperlink"/>
            <w:rFonts w:ascii="Bookman Old Style" w:hAnsi="Bookman Old Style"/>
            <w:sz w:val="24"/>
            <w:szCs w:val="24"/>
          </w:rPr>
          <w:t>http://icjr.or.id/data/wp-content/uploads/2016/12/TINDAK-PIDANA-PENGHINAAN-Pemerintah.pdf</w:t>
        </w:r>
      </w:hyperlink>
      <w:r>
        <w:rPr>
          <w:rFonts w:ascii="Bookman Old Style" w:hAnsi="Bookman Old Style"/>
          <w:sz w:val="24"/>
          <w:szCs w:val="24"/>
        </w:rPr>
        <w:t>)</w:t>
      </w:r>
    </w:p>
    <w:p w:rsidR="00EB49FD" w:rsidRDefault="00EB49FD" w:rsidP="00EB49FD">
      <w:pPr>
        <w:spacing w:after="0"/>
        <w:ind w:left="1582" w:hanging="1582"/>
        <w:jc w:val="both"/>
        <w:rPr>
          <w:rFonts w:ascii="Bookman Old Style" w:hAnsi="Bookman Old Style"/>
          <w:sz w:val="24"/>
          <w:szCs w:val="24"/>
        </w:rPr>
      </w:pPr>
    </w:p>
    <w:p w:rsidR="00E167B7" w:rsidRPr="00E167B7" w:rsidRDefault="00120260" w:rsidP="00E167B7">
      <w:pPr>
        <w:spacing w:after="0"/>
        <w:ind w:firstLine="709"/>
        <w:jc w:val="both"/>
        <w:rPr>
          <w:rFonts w:ascii="Bookman Old Style" w:hAnsi="Bookman Old Style"/>
          <w:sz w:val="24"/>
          <w:szCs w:val="24"/>
        </w:rPr>
      </w:pPr>
      <w:r>
        <w:rPr>
          <w:rFonts w:ascii="Bookman Old Style" w:hAnsi="Bookman Old Style"/>
          <w:sz w:val="24"/>
          <w:szCs w:val="24"/>
        </w:rPr>
        <w:t>Contoh di</w:t>
      </w:r>
      <w:r w:rsidR="00F01378">
        <w:rPr>
          <w:rFonts w:ascii="Bookman Old Style" w:hAnsi="Bookman Old Style"/>
          <w:sz w:val="24"/>
          <w:szCs w:val="24"/>
        </w:rPr>
        <w:t xml:space="preserve"> </w:t>
      </w:r>
      <w:r>
        <w:rPr>
          <w:rFonts w:ascii="Bookman Old Style" w:hAnsi="Bookman Old Style"/>
          <w:sz w:val="24"/>
          <w:szCs w:val="24"/>
        </w:rPr>
        <w:t xml:space="preserve">atas adalah </w:t>
      </w:r>
      <w:r w:rsidR="00E167B7">
        <w:rPr>
          <w:rFonts w:ascii="Bookman Old Style" w:hAnsi="Bookman Old Style"/>
          <w:sz w:val="24"/>
          <w:szCs w:val="24"/>
        </w:rPr>
        <w:t xml:space="preserve">pasal yang mengalami dekriminalisasi. Tindakan yang dulunya dianggap sebagai tindak pidana, namun tanggal 17 Juni 2007 Mahkamah Konstitusi menyatakan Pasal 154 dan 155 Kitab Undang-undang Hukum Pidana (KUHP) </w:t>
      </w:r>
      <w:r w:rsidR="00E167B7" w:rsidRPr="00E167B7">
        <w:rPr>
          <w:rFonts w:ascii="Bookman Old Style" w:hAnsi="Bookman Old Style"/>
          <w:sz w:val="24"/>
          <w:szCs w:val="24"/>
        </w:rPr>
        <w:t>bertentangan dengan UUD 1945. Perkara No. 6/PUU-V/2007</w:t>
      </w:r>
      <w:r w:rsidR="00E167B7">
        <w:rPr>
          <w:rFonts w:ascii="Bookman Old Style" w:hAnsi="Bookman Old Style"/>
          <w:sz w:val="24"/>
          <w:szCs w:val="24"/>
        </w:rPr>
        <w:t xml:space="preserve"> </w:t>
      </w:r>
      <w:r w:rsidR="00E167B7" w:rsidRPr="00E167B7">
        <w:rPr>
          <w:rFonts w:ascii="Bookman Old Style" w:hAnsi="Bookman Old Style"/>
          <w:sz w:val="24"/>
          <w:szCs w:val="24"/>
        </w:rPr>
        <w:t>diajukan Dr. R. Panji Utomo yang berprofesi sebagai dokter dan</w:t>
      </w:r>
      <w:r w:rsidR="00E167B7">
        <w:rPr>
          <w:rFonts w:ascii="Bookman Old Style" w:hAnsi="Bookman Old Style"/>
          <w:sz w:val="24"/>
          <w:szCs w:val="24"/>
        </w:rPr>
        <w:t xml:space="preserve"> </w:t>
      </w:r>
      <w:r w:rsidR="00E167B7" w:rsidRPr="00E167B7">
        <w:rPr>
          <w:rFonts w:ascii="Bookman Old Style" w:hAnsi="Bookman Old Style"/>
          <w:sz w:val="24"/>
          <w:szCs w:val="24"/>
        </w:rPr>
        <w:t>Direktur FORAK (Forum Komunikasi Antar Barak).Panji dalam</w:t>
      </w:r>
      <w:r w:rsidR="00E167B7">
        <w:rPr>
          <w:rFonts w:ascii="Bookman Old Style" w:hAnsi="Bookman Old Style"/>
          <w:sz w:val="24"/>
          <w:szCs w:val="24"/>
        </w:rPr>
        <w:t xml:space="preserve"> </w:t>
      </w:r>
      <w:r w:rsidR="00E167B7" w:rsidRPr="00E167B7">
        <w:rPr>
          <w:rFonts w:ascii="Bookman Old Style" w:hAnsi="Bookman Old Style"/>
          <w:sz w:val="24"/>
          <w:szCs w:val="24"/>
        </w:rPr>
        <w:t>permohonannya menganggap bahwa hak konstitusionalnya</w:t>
      </w:r>
      <w:r w:rsidR="00E167B7">
        <w:rPr>
          <w:rFonts w:ascii="Bookman Old Style" w:hAnsi="Bookman Old Style"/>
          <w:sz w:val="24"/>
          <w:szCs w:val="24"/>
        </w:rPr>
        <w:t xml:space="preserve"> </w:t>
      </w:r>
      <w:r w:rsidR="00E167B7" w:rsidRPr="00E167B7">
        <w:rPr>
          <w:rFonts w:ascii="Bookman Old Style" w:hAnsi="Bookman Old Style"/>
          <w:sz w:val="24"/>
          <w:szCs w:val="24"/>
        </w:rPr>
        <w:t>dirugikan dengan berlakunya Pasal 107, Pasal 154, Pasal 155, Pasal</w:t>
      </w:r>
      <w:r w:rsidR="00E167B7">
        <w:rPr>
          <w:rFonts w:ascii="Bookman Old Style" w:hAnsi="Bookman Old Style"/>
          <w:sz w:val="24"/>
          <w:szCs w:val="24"/>
        </w:rPr>
        <w:t xml:space="preserve"> </w:t>
      </w:r>
      <w:r w:rsidR="00E167B7" w:rsidRPr="00E167B7">
        <w:rPr>
          <w:rFonts w:ascii="Bookman Old Style" w:hAnsi="Bookman Old Style"/>
          <w:sz w:val="24"/>
          <w:szCs w:val="24"/>
        </w:rPr>
        <w:t>160, Pasal 161, Pasal 207 dan Pasal 208 KUHP yang dipandang dan</w:t>
      </w:r>
      <w:r w:rsidR="00E167B7">
        <w:rPr>
          <w:rFonts w:ascii="Bookman Old Style" w:hAnsi="Bookman Old Style"/>
          <w:sz w:val="24"/>
          <w:szCs w:val="24"/>
        </w:rPr>
        <w:t xml:space="preserve"> </w:t>
      </w:r>
      <w:r w:rsidR="00E167B7" w:rsidRPr="00E167B7">
        <w:rPr>
          <w:rFonts w:ascii="Bookman Old Style" w:hAnsi="Bookman Old Style"/>
          <w:sz w:val="24"/>
          <w:szCs w:val="24"/>
        </w:rPr>
        <w:t>diyakini bertentangan dengan Pasal 27 ayat (1), Pasal 28, Pasal 28C</w:t>
      </w:r>
      <w:r w:rsidR="00E167B7">
        <w:rPr>
          <w:rFonts w:ascii="Bookman Old Style" w:hAnsi="Bookman Old Style"/>
          <w:sz w:val="24"/>
          <w:szCs w:val="24"/>
        </w:rPr>
        <w:t xml:space="preserve"> </w:t>
      </w:r>
      <w:r w:rsidR="00E167B7" w:rsidRPr="00E167B7">
        <w:rPr>
          <w:rFonts w:ascii="Bookman Old Style" w:hAnsi="Bookman Old Style"/>
          <w:sz w:val="24"/>
          <w:szCs w:val="24"/>
        </w:rPr>
        <w:t>ayat (1) dan (2), Pasal 28D ayat (1), Pasal 28E ayat (2) dan (3), Pasal</w:t>
      </w:r>
      <w:r w:rsidR="00E167B7">
        <w:rPr>
          <w:rFonts w:ascii="Bookman Old Style" w:hAnsi="Bookman Old Style"/>
          <w:sz w:val="24"/>
          <w:szCs w:val="24"/>
        </w:rPr>
        <w:t xml:space="preserve"> </w:t>
      </w:r>
      <w:r w:rsidR="00E167B7" w:rsidRPr="00E167B7">
        <w:rPr>
          <w:rFonts w:ascii="Bookman Old Style" w:hAnsi="Bookman Old Style"/>
          <w:sz w:val="24"/>
          <w:szCs w:val="24"/>
        </w:rPr>
        <w:t>28F UUD 1945.  Namun hanya Pasal 154 dan Pasal 155 KUHP yang</w:t>
      </w:r>
      <w:r>
        <w:rPr>
          <w:rFonts w:ascii="Bookman Old Style" w:hAnsi="Bookman Old Style"/>
          <w:sz w:val="24"/>
          <w:szCs w:val="24"/>
        </w:rPr>
        <w:t xml:space="preserve"> </w:t>
      </w:r>
      <w:r w:rsidR="00E167B7" w:rsidRPr="00E167B7">
        <w:rPr>
          <w:rFonts w:ascii="Bookman Old Style" w:hAnsi="Bookman Old Style"/>
          <w:sz w:val="24"/>
          <w:szCs w:val="24"/>
        </w:rPr>
        <w:t>dinyatakan oleh MK tidak mempunyai kekuatan hukum mengikat,</w:t>
      </w:r>
      <w:r w:rsidR="00E167B7">
        <w:rPr>
          <w:rFonts w:ascii="Bookman Old Style" w:hAnsi="Bookman Old Style"/>
          <w:sz w:val="24"/>
          <w:szCs w:val="24"/>
        </w:rPr>
        <w:t xml:space="preserve"> </w:t>
      </w:r>
      <w:r w:rsidR="00E167B7" w:rsidRPr="00E167B7">
        <w:rPr>
          <w:rFonts w:ascii="Bookman Old Style" w:hAnsi="Bookman Old Style"/>
          <w:sz w:val="24"/>
          <w:szCs w:val="24"/>
        </w:rPr>
        <w:t>sedangkan permohonan Pemohon selebihnya tidak dapat diterima</w:t>
      </w:r>
      <w:r w:rsidR="00E167B7">
        <w:rPr>
          <w:rFonts w:ascii="Bookman Old Style" w:hAnsi="Bookman Old Style"/>
          <w:sz w:val="24"/>
          <w:szCs w:val="24"/>
        </w:rPr>
        <w:t xml:space="preserve"> </w:t>
      </w:r>
      <w:r w:rsidR="00E167B7" w:rsidRPr="00E167B7">
        <w:rPr>
          <w:rFonts w:ascii="Bookman Old Style" w:hAnsi="Bookman Old Style"/>
          <w:sz w:val="24"/>
          <w:szCs w:val="24"/>
        </w:rPr>
        <w:t>(</w:t>
      </w:r>
      <w:r w:rsidR="00E167B7" w:rsidRPr="00E167B7">
        <w:rPr>
          <w:rFonts w:ascii="Bookman Old Style" w:hAnsi="Bookman Old Style"/>
          <w:i/>
          <w:sz w:val="24"/>
          <w:szCs w:val="24"/>
        </w:rPr>
        <w:t>niet ontvankelijk verklaard</w:t>
      </w:r>
      <w:r w:rsidR="00E167B7" w:rsidRPr="00E167B7">
        <w:rPr>
          <w:rFonts w:ascii="Bookman Old Style" w:hAnsi="Bookman Old Style"/>
          <w:sz w:val="24"/>
          <w:szCs w:val="24"/>
        </w:rPr>
        <w:t>).</w:t>
      </w:r>
      <w:r w:rsidR="00E167B7">
        <w:rPr>
          <w:rFonts w:ascii="Bookman Old Style" w:hAnsi="Bookman Old Style"/>
          <w:sz w:val="24"/>
          <w:szCs w:val="24"/>
        </w:rPr>
        <w:t xml:space="preserve"> Namun begitu, kendatipun yang dianggap tidak mempunyai kekuatan mengikat hanya Pasal 154 dan 155 KUHP, sejarah membuktikan bila pasal tersebut telah menjerat beberapa orang di tahun sebelumnya seperti pada data tabel </w:t>
      </w:r>
      <w:r w:rsidR="00E167B7">
        <w:rPr>
          <w:rFonts w:ascii="Bookman Old Style" w:hAnsi="Bookman Old Style"/>
          <w:i/>
          <w:sz w:val="24"/>
          <w:szCs w:val="24"/>
        </w:rPr>
        <w:t xml:space="preserve">ICJR </w:t>
      </w:r>
      <w:r w:rsidR="00E167B7">
        <w:rPr>
          <w:rFonts w:ascii="Bookman Old Style" w:hAnsi="Bookman Old Style"/>
          <w:sz w:val="24"/>
          <w:szCs w:val="24"/>
        </w:rPr>
        <w:t xml:space="preserve"> tersebut di atas. </w:t>
      </w:r>
    </w:p>
    <w:p w:rsidR="00E167B7" w:rsidRPr="00E167B7" w:rsidRDefault="00E167B7" w:rsidP="00E167B7">
      <w:pPr>
        <w:spacing w:after="0"/>
        <w:ind w:firstLine="709"/>
        <w:jc w:val="both"/>
        <w:rPr>
          <w:rFonts w:ascii="Bookman Old Style" w:hAnsi="Bookman Old Style"/>
          <w:sz w:val="24"/>
          <w:szCs w:val="24"/>
        </w:rPr>
      </w:pPr>
      <w:r w:rsidRPr="00E167B7">
        <w:rPr>
          <w:rFonts w:ascii="Bookman Old Style" w:hAnsi="Bookman Old Style"/>
          <w:sz w:val="24"/>
          <w:szCs w:val="24"/>
        </w:rPr>
        <w:t>Pertimbangan Mahkamah Konstitusi dalam Putusan Nomor 6/PUUV/2007</w:t>
      </w:r>
      <w:r>
        <w:rPr>
          <w:rFonts w:ascii="Bookman Old Style" w:hAnsi="Bookman Old Style"/>
          <w:sz w:val="24"/>
          <w:szCs w:val="24"/>
        </w:rPr>
        <w:t xml:space="preserve"> </w:t>
      </w:r>
      <w:r w:rsidRPr="00E167B7">
        <w:rPr>
          <w:rFonts w:ascii="Bookman Old Style" w:hAnsi="Bookman Old Style"/>
          <w:sz w:val="24"/>
          <w:szCs w:val="24"/>
        </w:rPr>
        <w:t>yakni:</w:t>
      </w:r>
    </w:p>
    <w:p w:rsidR="00120260" w:rsidRDefault="00E167B7" w:rsidP="00E167B7">
      <w:pPr>
        <w:spacing w:after="0"/>
        <w:ind w:firstLine="709"/>
        <w:jc w:val="both"/>
        <w:rPr>
          <w:rFonts w:ascii="Bookman Old Style" w:hAnsi="Bookman Old Style"/>
          <w:sz w:val="24"/>
          <w:szCs w:val="24"/>
        </w:rPr>
      </w:pPr>
      <w:r w:rsidRPr="00E167B7">
        <w:rPr>
          <w:rFonts w:ascii="Bookman Old Style" w:hAnsi="Bookman Old Style"/>
          <w:sz w:val="24"/>
          <w:szCs w:val="24"/>
        </w:rPr>
        <w:t>Mahkamah Konstitusi, dalam pertimbangan hukumnya menjelaskan</w:t>
      </w:r>
      <w:r>
        <w:rPr>
          <w:rFonts w:ascii="Bookman Old Style" w:hAnsi="Bookman Old Style"/>
          <w:sz w:val="24"/>
          <w:szCs w:val="24"/>
        </w:rPr>
        <w:t xml:space="preserve"> </w:t>
      </w:r>
      <w:r w:rsidRPr="00E167B7">
        <w:rPr>
          <w:rFonts w:ascii="Bookman Old Style" w:hAnsi="Bookman Old Style"/>
          <w:sz w:val="24"/>
          <w:szCs w:val="24"/>
        </w:rPr>
        <w:t>bahwa kualifikasi delik atau tindak pidana yang dirumuskan dalam</w:t>
      </w:r>
      <w:r>
        <w:rPr>
          <w:rFonts w:ascii="Bookman Old Style" w:hAnsi="Bookman Old Style"/>
          <w:sz w:val="24"/>
          <w:szCs w:val="24"/>
        </w:rPr>
        <w:t xml:space="preserve"> </w:t>
      </w:r>
      <w:r w:rsidRPr="00E167B7">
        <w:rPr>
          <w:rFonts w:ascii="Bookman Old Style" w:hAnsi="Bookman Old Style"/>
          <w:sz w:val="24"/>
          <w:szCs w:val="24"/>
        </w:rPr>
        <w:t>Pasal 154 dan 155 KUHP adalah delik formil yang cukup hanya</w:t>
      </w:r>
      <w:r w:rsidR="009F7B8E">
        <w:rPr>
          <w:rFonts w:ascii="Bookman Old Style" w:hAnsi="Bookman Old Style"/>
          <w:sz w:val="24"/>
          <w:szCs w:val="24"/>
        </w:rPr>
        <w:t xml:space="preserve"> </w:t>
      </w:r>
      <w:r w:rsidRPr="00E167B7">
        <w:rPr>
          <w:rFonts w:ascii="Bookman Old Style" w:hAnsi="Bookman Old Style"/>
          <w:sz w:val="24"/>
          <w:szCs w:val="24"/>
        </w:rPr>
        <w:t>mempersyaratkan terpenuhinya unsur adanya perbuatan yang</w:t>
      </w:r>
      <w:r>
        <w:rPr>
          <w:rFonts w:ascii="Bookman Old Style" w:hAnsi="Bookman Old Style"/>
          <w:sz w:val="24"/>
          <w:szCs w:val="24"/>
        </w:rPr>
        <w:t xml:space="preserve"> </w:t>
      </w:r>
      <w:r w:rsidRPr="00E167B7">
        <w:rPr>
          <w:rFonts w:ascii="Bookman Old Style" w:hAnsi="Bookman Old Style"/>
          <w:sz w:val="24"/>
          <w:szCs w:val="24"/>
        </w:rPr>
        <w:t>dilarang (</w:t>
      </w:r>
      <w:r w:rsidRPr="00E167B7">
        <w:rPr>
          <w:rFonts w:ascii="Bookman Old Style" w:hAnsi="Bookman Old Style"/>
          <w:i/>
          <w:sz w:val="24"/>
          <w:szCs w:val="24"/>
        </w:rPr>
        <w:t>strafbare handeling</w:t>
      </w:r>
      <w:r w:rsidRPr="00E167B7">
        <w:rPr>
          <w:rFonts w:ascii="Bookman Old Style" w:hAnsi="Bookman Old Style"/>
          <w:sz w:val="24"/>
          <w:szCs w:val="24"/>
        </w:rPr>
        <w:t>) tanpa mengaitkan dengan akibat dari</w:t>
      </w:r>
      <w:r>
        <w:rPr>
          <w:rFonts w:ascii="Bookman Old Style" w:hAnsi="Bookman Old Style"/>
          <w:sz w:val="24"/>
          <w:szCs w:val="24"/>
        </w:rPr>
        <w:t xml:space="preserve"> </w:t>
      </w:r>
      <w:r w:rsidRPr="00E167B7">
        <w:rPr>
          <w:rFonts w:ascii="Bookman Old Style" w:hAnsi="Bookman Old Style"/>
          <w:sz w:val="24"/>
          <w:szCs w:val="24"/>
        </w:rPr>
        <w:t>suatu perbuatan. Akibatnya, rumusan kedua pasal pidana tersebut</w:t>
      </w:r>
      <w:r>
        <w:rPr>
          <w:rFonts w:ascii="Bookman Old Style" w:hAnsi="Bookman Old Style"/>
          <w:sz w:val="24"/>
          <w:szCs w:val="24"/>
        </w:rPr>
        <w:t xml:space="preserve"> </w:t>
      </w:r>
      <w:r w:rsidRPr="00E167B7">
        <w:rPr>
          <w:rFonts w:ascii="Bookman Old Style" w:hAnsi="Bookman Old Style"/>
          <w:sz w:val="24"/>
          <w:szCs w:val="24"/>
        </w:rPr>
        <w:t>menimbulkan kecenderungan penyalahgunaan kekuasaan karena</w:t>
      </w:r>
      <w:r>
        <w:rPr>
          <w:rFonts w:ascii="Bookman Old Style" w:hAnsi="Bookman Old Style"/>
          <w:sz w:val="24"/>
          <w:szCs w:val="24"/>
        </w:rPr>
        <w:t xml:space="preserve"> </w:t>
      </w:r>
      <w:r w:rsidRPr="00E167B7">
        <w:rPr>
          <w:rFonts w:ascii="Bookman Old Style" w:hAnsi="Bookman Old Style"/>
          <w:sz w:val="24"/>
          <w:szCs w:val="24"/>
        </w:rPr>
        <w:t xml:space="preserve">secara mudah dapat ditafsirkan menurut selera penguasa. </w:t>
      </w:r>
      <w:r>
        <w:rPr>
          <w:rFonts w:ascii="Bookman Old Style" w:hAnsi="Bookman Old Style"/>
          <w:sz w:val="24"/>
          <w:szCs w:val="24"/>
        </w:rPr>
        <w:t xml:space="preserve"> </w:t>
      </w:r>
      <w:r w:rsidRPr="00E167B7">
        <w:rPr>
          <w:rFonts w:ascii="Bookman Old Style" w:hAnsi="Bookman Old Style"/>
          <w:sz w:val="24"/>
          <w:szCs w:val="24"/>
        </w:rPr>
        <w:t>Menurut Mahkamah Konstitusi, seorang warga negara yang</w:t>
      </w:r>
      <w:r>
        <w:rPr>
          <w:rFonts w:ascii="Bookman Old Style" w:hAnsi="Bookman Old Style"/>
          <w:sz w:val="24"/>
          <w:szCs w:val="24"/>
        </w:rPr>
        <w:t xml:space="preserve"> </w:t>
      </w:r>
      <w:r w:rsidRPr="00E167B7">
        <w:rPr>
          <w:rFonts w:ascii="Bookman Old Style" w:hAnsi="Bookman Old Style"/>
          <w:sz w:val="24"/>
          <w:szCs w:val="24"/>
        </w:rPr>
        <w:t>bermaksud menyampaikan kritik atau pendapat terhadap</w:t>
      </w:r>
      <w:r>
        <w:rPr>
          <w:rFonts w:ascii="Bookman Old Style" w:hAnsi="Bookman Old Style"/>
          <w:sz w:val="24"/>
          <w:szCs w:val="24"/>
        </w:rPr>
        <w:t xml:space="preserve"> </w:t>
      </w:r>
      <w:r w:rsidRPr="00E167B7">
        <w:rPr>
          <w:rFonts w:ascii="Bookman Old Style" w:hAnsi="Bookman Old Style"/>
          <w:sz w:val="24"/>
          <w:szCs w:val="24"/>
        </w:rPr>
        <w:t>Pemerintah, merupakan hak konstitusional yang dijamin oleh UUD</w:t>
      </w:r>
      <w:r>
        <w:rPr>
          <w:rFonts w:ascii="Bookman Old Style" w:hAnsi="Bookman Old Style"/>
          <w:sz w:val="24"/>
          <w:szCs w:val="24"/>
        </w:rPr>
        <w:t xml:space="preserve"> </w:t>
      </w:r>
      <w:r w:rsidRPr="00E167B7">
        <w:rPr>
          <w:rFonts w:ascii="Bookman Old Style" w:hAnsi="Bookman Old Style"/>
          <w:sz w:val="24"/>
          <w:szCs w:val="24"/>
        </w:rPr>
        <w:t>1945, akan dengan mudah dikualifikasikan oleh penguasa sebagai</w:t>
      </w:r>
      <w:r>
        <w:rPr>
          <w:rFonts w:ascii="Bookman Old Style" w:hAnsi="Bookman Old Style"/>
          <w:sz w:val="24"/>
          <w:szCs w:val="24"/>
        </w:rPr>
        <w:t xml:space="preserve"> </w:t>
      </w:r>
      <w:r w:rsidRPr="00E167B7">
        <w:rPr>
          <w:rFonts w:ascii="Bookman Old Style" w:hAnsi="Bookman Old Style"/>
          <w:sz w:val="24"/>
          <w:szCs w:val="24"/>
        </w:rPr>
        <w:t>pernyataan “perasaan permusuhan, kebencian, atau penghinaan”</w:t>
      </w:r>
      <w:r>
        <w:rPr>
          <w:rFonts w:ascii="Bookman Old Style" w:hAnsi="Bookman Old Style"/>
          <w:sz w:val="24"/>
          <w:szCs w:val="24"/>
        </w:rPr>
        <w:t xml:space="preserve"> </w:t>
      </w:r>
      <w:r w:rsidRPr="00E167B7">
        <w:rPr>
          <w:rFonts w:ascii="Bookman Old Style" w:hAnsi="Bookman Old Style"/>
          <w:sz w:val="24"/>
          <w:szCs w:val="24"/>
        </w:rPr>
        <w:t>terhadap Pemerintah sebagai akibat dari tidak adanya kepastian</w:t>
      </w:r>
      <w:r>
        <w:rPr>
          <w:rFonts w:ascii="Bookman Old Style" w:hAnsi="Bookman Old Style"/>
          <w:sz w:val="24"/>
          <w:szCs w:val="24"/>
        </w:rPr>
        <w:t xml:space="preserve"> </w:t>
      </w:r>
      <w:r w:rsidRPr="00E167B7">
        <w:rPr>
          <w:rFonts w:ascii="Bookman Old Style" w:hAnsi="Bookman Old Style"/>
          <w:sz w:val="24"/>
          <w:szCs w:val="24"/>
        </w:rPr>
        <w:t>kriteria dalam rumusan Pasal 154 maupun 155 KUHP tersebut untuk</w:t>
      </w:r>
      <w:r>
        <w:rPr>
          <w:rFonts w:ascii="Bookman Old Style" w:hAnsi="Bookman Old Style"/>
          <w:sz w:val="24"/>
          <w:szCs w:val="24"/>
        </w:rPr>
        <w:t xml:space="preserve"> </w:t>
      </w:r>
      <w:r w:rsidRPr="00E167B7">
        <w:rPr>
          <w:rFonts w:ascii="Bookman Old Style" w:hAnsi="Bookman Old Style"/>
          <w:sz w:val="24"/>
          <w:szCs w:val="24"/>
        </w:rPr>
        <w:t>membedakan kritik atau pernyataan pendapat dengan perasaan permusuhan, kebencian, ataupun penghinaan. Karena penuntut</w:t>
      </w:r>
      <w:r>
        <w:rPr>
          <w:rFonts w:ascii="Bookman Old Style" w:hAnsi="Bookman Old Style"/>
          <w:sz w:val="24"/>
          <w:szCs w:val="24"/>
        </w:rPr>
        <w:t xml:space="preserve"> </w:t>
      </w:r>
      <w:r w:rsidRPr="00E167B7">
        <w:rPr>
          <w:rFonts w:ascii="Bookman Old Style" w:hAnsi="Bookman Old Style"/>
          <w:sz w:val="24"/>
          <w:szCs w:val="24"/>
        </w:rPr>
        <w:t>umum tidak perlu membuktikan apakah pernyataan atau pendapat</w:t>
      </w:r>
      <w:r>
        <w:rPr>
          <w:rFonts w:ascii="Bookman Old Style" w:hAnsi="Bookman Old Style"/>
          <w:sz w:val="24"/>
          <w:szCs w:val="24"/>
        </w:rPr>
        <w:t xml:space="preserve"> </w:t>
      </w:r>
      <w:r w:rsidRPr="00E167B7">
        <w:rPr>
          <w:rFonts w:ascii="Bookman Old Style" w:hAnsi="Bookman Old Style"/>
          <w:sz w:val="24"/>
          <w:szCs w:val="24"/>
        </w:rPr>
        <w:t>yang disampaikan oleh seseorang itu benar-benar telah</w:t>
      </w:r>
      <w:r>
        <w:rPr>
          <w:rFonts w:ascii="Bookman Old Style" w:hAnsi="Bookman Old Style"/>
          <w:sz w:val="24"/>
          <w:szCs w:val="24"/>
        </w:rPr>
        <w:t xml:space="preserve"> </w:t>
      </w:r>
      <w:r w:rsidRPr="00E167B7">
        <w:rPr>
          <w:rFonts w:ascii="Bookman Old Style" w:hAnsi="Bookman Old Style"/>
          <w:sz w:val="24"/>
          <w:szCs w:val="24"/>
        </w:rPr>
        <w:t>menimbulkan akibat berupa tersebar atau bangkitnya kebencian</w:t>
      </w:r>
      <w:r>
        <w:rPr>
          <w:rFonts w:ascii="Bookman Old Style" w:hAnsi="Bookman Old Style"/>
          <w:sz w:val="24"/>
          <w:szCs w:val="24"/>
        </w:rPr>
        <w:t xml:space="preserve"> </w:t>
      </w:r>
      <w:r w:rsidRPr="00E167B7">
        <w:rPr>
          <w:rFonts w:ascii="Bookman Old Style" w:hAnsi="Bookman Old Style"/>
          <w:sz w:val="24"/>
          <w:szCs w:val="24"/>
        </w:rPr>
        <w:t>atau permusuhan di kalangan khalayak ramai.MK juga menjelaskan</w:t>
      </w:r>
      <w:r>
        <w:rPr>
          <w:rFonts w:ascii="Bookman Old Style" w:hAnsi="Bookman Old Style"/>
          <w:sz w:val="24"/>
          <w:szCs w:val="24"/>
        </w:rPr>
        <w:t xml:space="preserve"> </w:t>
      </w:r>
      <w:r w:rsidRPr="00E167B7">
        <w:rPr>
          <w:rFonts w:ascii="Bookman Old Style" w:hAnsi="Bookman Old Style"/>
          <w:sz w:val="24"/>
          <w:szCs w:val="24"/>
        </w:rPr>
        <w:t>bahwa Pasal 154 dan 155 KUHP dapat dikatakan tidak rasional,</w:t>
      </w:r>
      <w:r>
        <w:rPr>
          <w:rFonts w:ascii="Bookman Old Style" w:hAnsi="Bookman Old Style"/>
          <w:sz w:val="24"/>
          <w:szCs w:val="24"/>
        </w:rPr>
        <w:t xml:space="preserve"> </w:t>
      </w:r>
      <w:r w:rsidRPr="00E167B7">
        <w:rPr>
          <w:rFonts w:ascii="Bookman Old Style" w:hAnsi="Bookman Old Style"/>
          <w:sz w:val="24"/>
          <w:szCs w:val="24"/>
        </w:rPr>
        <w:t>karena seorang warga negara dari sebuah negara merdeka dan</w:t>
      </w:r>
      <w:r>
        <w:rPr>
          <w:rFonts w:ascii="Bookman Old Style" w:hAnsi="Bookman Old Style"/>
          <w:sz w:val="24"/>
          <w:szCs w:val="24"/>
        </w:rPr>
        <w:t xml:space="preserve"> </w:t>
      </w:r>
      <w:r w:rsidRPr="00E167B7">
        <w:rPr>
          <w:rFonts w:ascii="Bookman Old Style" w:hAnsi="Bookman Old Style"/>
          <w:sz w:val="24"/>
          <w:szCs w:val="24"/>
        </w:rPr>
        <w:t>berdaulat tidak mungkin memusuhi negara dan pemerintahannya</w:t>
      </w:r>
      <w:r>
        <w:rPr>
          <w:rFonts w:ascii="Bookman Old Style" w:hAnsi="Bookman Old Style"/>
          <w:sz w:val="24"/>
          <w:szCs w:val="24"/>
        </w:rPr>
        <w:t xml:space="preserve"> </w:t>
      </w:r>
      <w:r w:rsidRPr="00E167B7">
        <w:rPr>
          <w:rFonts w:ascii="Bookman Old Style" w:hAnsi="Bookman Old Style"/>
          <w:sz w:val="24"/>
          <w:szCs w:val="24"/>
        </w:rPr>
        <w:t>sendiri yang merdeka dan berdaulat, kecuali dalam hal makar.</w:t>
      </w:r>
      <w:r>
        <w:rPr>
          <w:rFonts w:ascii="Bookman Old Style" w:hAnsi="Bookman Old Style"/>
          <w:sz w:val="24"/>
          <w:szCs w:val="24"/>
        </w:rPr>
        <w:t xml:space="preserve"> </w:t>
      </w:r>
      <w:r w:rsidRPr="00E167B7">
        <w:rPr>
          <w:rFonts w:ascii="Bookman Old Style" w:hAnsi="Bookman Old Style"/>
          <w:sz w:val="24"/>
          <w:szCs w:val="24"/>
        </w:rPr>
        <w:t>Namun, ketentuan tentang makar sudah diatur tersendiri dalam</w:t>
      </w:r>
      <w:r>
        <w:rPr>
          <w:rFonts w:ascii="Bookman Old Style" w:hAnsi="Bookman Old Style"/>
          <w:sz w:val="24"/>
          <w:szCs w:val="24"/>
        </w:rPr>
        <w:t xml:space="preserve"> </w:t>
      </w:r>
      <w:r w:rsidRPr="00E167B7">
        <w:rPr>
          <w:rFonts w:ascii="Bookman Old Style" w:hAnsi="Bookman Old Style"/>
          <w:sz w:val="24"/>
          <w:szCs w:val="24"/>
        </w:rPr>
        <w:t>pasal lain dan bukan dalam Pasal 154 dan Pasal 155 KUHP.</w:t>
      </w:r>
      <w:r>
        <w:rPr>
          <w:rFonts w:ascii="Bookman Old Style" w:hAnsi="Bookman Old Style"/>
          <w:sz w:val="24"/>
          <w:szCs w:val="24"/>
        </w:rPr>
        <w:t xml:space="preserve"> (Supriadi Widodo, 2016: 22)</w:t>
      </w:r>
    </w:p>
    <w:p w:rsidR="009F7B8E" w:rsidRDefault="009F7B8E" w:rsidP="00E167B7">
      <w:pPr>
        <w:spacing w:after="0"/>
        <w:ind w:firstLine="709"/>
        <w:jc w:val="both"/>
        <w:rPr>
          <w:rFonts w:ascii="Bookman Old Style" w:hAnsi="Bookman Old Style"/>
          <w:sz w:val="24"/>
          <w:szCs w:val="24"/>
        </w:rPr>
      </w:pPr>
      <w:r>
        <w:rPr>
          <w:rFonts w:ascii="Bookman Old Style" w:hAnsi="Bookman Old Style"/>
          <w:sz w:val="24"/>
          <w:szCs w:val="24"/>
        </w:rPr>
        <w:t>Pertimbangan kasus hakim konstitusi di</w:t>
      </w:r>
      <w:r w:rsidR="000C0CBC">
        <w:rPr>
          <w:rFonts w:ascii="Bookman Old Style" w:hAnsi="Bookman Old Style"/>
          <w:sz w:val="24"/>
          <w:szCs w:val="24"/>
        </w:rPr>
        <w:t xml:space="preserve"> </w:t>
      </w:r>
      <w:r>
        <w:rPr>
          <w:rFonts w:ascii="Bookman Old Style" w:hAnsi="Bookman Old Style"/>
          <w:sz w:val="24"/>
          <w:szCs w:val="24"/>
        </w:rPr>
        <w:t xml:space="preserve">atas jelas bahwa adanya perubahan paradigma bahwa untuk menjadi negara demokrasi maka setiap warga negara memiliki kebebasan untuk mengungkapkan ekspersi kritikan terhadap pemerintah. Dengan dicabutnya pasal 154 dan 155 maka filosofi dari pasal tersebut yang dulunya dianggap sebagai delik justru sekarang berubah menjadi ekspesi negara berdemokrasi. Inilah yang dimaksud dalam penelitian ini bahwa perubahan peraturan perundang-undangan tentu terjadi berdasarkan pertimbangan yuridis, sosial, dan filosofis. </w:t>
      </w:r>
    </w:p>
    <w:p w:rsidR="000D6E78" w:rsidRDefault="009F7B8E" w:rsidP="000D6E78">
      <w:pPr>
        <w:spacing w:after="0"/>
        <w:ind w:firstLine="709"/>
        <w:jc w:val="both"/>
        <w:rPr>
          <w:rFonts w:ascii="Bookman Old Style" w:hAnsi="Bookman Old Style"/>
          <w:sz w:val="24"/>
          <w:szCs w:val="24"/>
        </w:rPr>
      </w:pPr>
      <w:r>
        <w:rPr>
          <w:rFonts w:ascii="Bookman Old Style" w:hAnsi="Bookman Old Style"/>
          <w:sz w:val="24"/>
          <w:szCs w:val="24"/>
        </w:rPr>
        <w:t>Pemaparan kasus di</w:t>
      </w:r>
      <w:r w:rsidR="000C0CBC">
        <w:rPr>
          <w:rFonts w:ascii="Bookman Old Style" w:hAnsi="Bookman Old Style"/>
          <w:sz w:val="24"/>
          <w:szCs w:val="24"/>
        </w:rPr>
        <w:t xml:space="preserve"> </w:t>
      </w:r>
      <w:r>
        <w:rPr>
          <w:rFonts w:ascii="Bookman Old Style" w:hAnsi="Bookman Old Style"/>
          <w:sz w:val="24"/>
          <w:szCs w:val="24"/>
        </w:rPr>
        <w:t xml:space="preserve">atas hanyalah sebagian kecil dari contoh delik yang mengalami perubahan. olehnya dalam sebuah pelaksanaan </w:t>
      </w:r>
      <w:r w:rsidRPr="009F7B8E">
        <w:rPr>
          <w:rFonts w:ascii="Bookman Old Style" w:hAnsi="Bookman Old Style"/>
          <w:i/>
          <w:sz w:val="24"/>
          <w:szCs w:val="24"/>
        </w:rPr>
        <w:t>punishment</w:t>
      </w:r>
      <w:r>
        <w:rPr>
          <w:rFonts w:ascii="Bookman Old Style" w:hAnsi="Bookman Old Style"/>
          <w:i/>
          <w:sz w:val="24"/>
          <w:szCs w:val="24"/>
        </w:rPr>
        <w:t xml:space="preserve"> </w:t>
      </w:r>
      <w:r>
        <w:rPr>
          <w:rFonts w:ascii="Bookman Old Style" w:hAnsi="Bookman Old Style"/>
          <w:sz w:val="24"/>
          <w:szCs w:val="24"/>
        </w:rPr>
        <w:t xml:space="preserve">menurut H.L Packer bahwa dalam hal </w:t>
      </w:r>
      <w:r>
        <w:rPr>
          <w:rFonts w:ascii="Bookman Old Style" w:hAnsi="Bookman Old Style"/>
          <w:i/>
          <w:sz w:val="24"/>
          <w:szCs w:val="24"/>
        </w:rPr>
        <w:t xml:space="preserve">phunishment </w:t>
      </w:r>
      <w:r>
        <w:rPr>
          <w:rFonts w:ascii="Bookman Old Style" w:hAnsi="Bookman Old Style"/>
          <w:sz w:val="24"/>
          <w:szCs w:val="24"/>
        </w:rPr>
        <w:t xml:space="preserve"> kita memperlakukan seseorang karena ia telah melakukan suatu perbuatan salah dengan tujuan, baik untuk mencegah terulangnya perbuatan itu maupun untuk mengenakan penderitaan atau untuk kedua-duanya. Pada tindakan yang bukan lagi merupakan delik, maka tujuan untuk mencegah terulangnya perbuatan itu tentulah tidak bisa terpenuhi, dimana perbuatan </w:t>
      </w:r>
      <w:r w:rsidR="000D6E78">
        <w:rPr>
          <w:rFonts w:ascii="Bookman Old Style" w:hAnsi="Bookman Old Style"/>
          <w:sz w:val="24"/>
          <w:szCs w:val="24"/>
        </w:rPr>
        <w:t>tersebut jika</w:t>
      </w:r>
      <w:r>
        <w:rPr>
          <w:rFonts w:ascii="Bookman Old Style" w:hAnsi="Bookman Old Style"/>
          <w:sz w:val="24"/>
          <w:szCs w:val="24"/>
        </w:rPr>
        <w:t xml:space="preserve"> dilakukan kembali maka tidak akan berakibat tindak pidana karena telah mengalami dekriminalisasi. Bukankah hal ini patut menjadi pertimbangan bahwa untuk sebuah delik yang mengalami dekriminalisasi harus memberikan perluasan subyek yakni tidak sebatas terdakwa tetapi juga harus terpidana. </w:t>
      </w:r>
      <w:r w:rsidR="000D6E78">
        <w:rPr>
          <w:rFonts w:ascii="Bookman Old Style" w:hAnsi="Bookman Old Style"/>
          <w:sz w:val="24"/>
          <w:szCs w:val="24"/>
        </w:rPr>
        <w:t xml:space="preserve">Pertimbangan lain jika tujuan pidana adalah untuk memberikan penderitaan maka adilkah seseorang yang </w:t>
      </w:r>
      <w:r w:rsidR="006E3F20">
        <w:rPr>
          <w:rFonts w:ascii="Bookman Old Style" w:hAnsi="Bookman Old Style"/>
          <w:sz w:val="24"/>
          <w:szCs w:val="24"/>
        </w:rPr>
        <w:t>menjalani</w:t>
      </w:r>
      <w:r w:rsidR="000D6E78">
        <w:rPr>
          <w:rFonts w:ascii="Bookman Old Style" w:hAnsi="Bookman Old Style"/>
          <w:sz w:val="24"/>
          <w:szCs w:val="24"/>
        </w:rPr>
        <w:t xml:space="preserve"> </w:t>
      </w:r>
      <w:r w:rsidR="006E3F20">
        <w:rPr>
          <w:rFonts w:ascii="Bookman Old Style" w:hAnsi="Bookman Old Style"/>
          <w:sz w:val="24"/>
          <w:szCs w:val="24"/>
        </w:rPr>
        <w:t>pemidanaan padahal pemidanaan tersebut jelas terhadap tindakan yang bukan lagi termasuk delik.</w:t>
      </w:r>
      <w:r w:rsidR="00AC459C">
        <w:rPr>
          <w:rFonts w:ascii="Bookman Old Style" w:hAnsi="Bookman Old Style"/>
          <w:sz w:val="24"/>
          <w:szCs w:val="24"/>
        </w:rPr>
        <w:t xml:space="preserve"> </w:t>
      </w:r>
    </w:p>
    <w:p w:rsidR="00AC459C" w:rsidRDefault="00AC459C" w:rsidP="000D6E78">
      <w:pPr>
        <w:spacing w:after="0"/>
        <w:ind w:firstLine="709"/>
        <w:jc w:val="both"/>
        <w:rPr>
          <w:rFonts w:ascii="Bookman Old Style" w:hAnsi="Bookman Old Style"/>
          <w:sz w:val="24"/>
          <w:szCs w:val="24"/>
        </w:rPr>
      </w:pPr>
      <w:r>
        <w:rPr>
          <w:rFonts w:ascii="Bookman Old Style" w:hAnsi="Bookman Old Style"/>
          <w:sz w:val="24"/>
          <w:szCs w:val="24"/>
        </w:rPr>
        <w:t xml:space="preserve">Keadilan yang dimaksud oleh Aristoteles bahwa keadilan secara umum erat kaitannya dengan kepatuhan terhadap hukum, lalu hukum secara pasti menyatakan bahwa adanya perubahan peraturan yang mengakibatkan terjadinya Dekriminalisasi seperti contoh kasus di atas (walaupun masih banyak kasus lain yang juga mengalami dekriminalisasi) tentu sangat bertentangan dengan rasa keadilan bagi terpidana. Keadilan secara khusus yang sifatnya disesuaikan dengan proporsi, </w:t>
      </w:r>
      <w:r w:rsidR="003F0711">
        <w:rPr>
          <w:rFonts w:ascii="Bookman Old Style" w:hAnsi="Bookman Old Style"/>
          <w:sz w:val="24"/>
          <w:szCs w:val="24"/>
        </w:rPr>
        <w:t>sedangkan</w:t>
      </w:r>
      <w:r>
        <w:rPr>
          <w:rFonts w:ascii="Bookman Old Style" w:hAnsi="Bookman Old Style"/>
          <w:sz w:val="24"/>
          <w:szCs w:val="24"/>
        </w:rPr>
        <w:t xml:space="preserve"> proporsi yang seperti bagaimana harus diberikan kepada seorang terpidana atas tindakan yang dilakukan padahal tindakan tersebut telah mengalami perubahan paradigma dan telah dinyatakan bukan lagi tindak pidana. Ini tentu menjadi pertimbangan penting bahwa hak terpidana bukan hanya sebatas mendapat hak-hak saat menjalankan masa hukumannya, namun terpidana juga berhak mendapatkan keuntungan dari perubahan peraturan. </w:t>
      </w:r>
    </w:p>
    <w:p w:rsidR="00E9381B" w:rsidRDefault="00C62A5C" w:rsidP="00E02AEE">
      <w:pPr>
        <w:spacing w:after="0"/>
        <w:ind w:firstLine="720"/>
        <w:jc w:val="both"/>
        <w:rPr>
          <w:rFonts w:ascii="Bookman Old Style" w:hAnsi="Bookman Old Style"/>
          <w:sz w:val="24"/>
          <w:szCs w:val="24"/>
        </w:rPr>
      </w:pPr>
      <w:r>
        <w:rPr>
          <w:rFonts w:ascii="Bookman Old Style" w:hAnsi="Bookman Old Style"/>
          <w:sz w:val="24"/>
          <w:szCs w:val="24"/>
        </w:rPr>
        <w:t xml:space="preserve">Menurut kongres Internasional mengenai hukum pidana dan penjara tahun 1935 di Berlin, Jerman didebatkan bahwa ada atau tidaknya pengaruh suatu perubahan peraturan perundang-undangan terhadap putusan hakim yang telah memperoleh kekuatan hukum tetap </w:t>
      </w:r>
      <w:r>
        <w:rPr>
          <w:rFonts w:ascii="Bookman Old Style" w:hAnsi="Bookman Old Style"/>
          <w:i/>
          <w:sz w:val="24"/>
          <w:szCs w:val="24"/>
        </w:rPr>
        <w:t xml:space="preserve">(kracht van gewijsde). </w:t>
      </w:r>
      <w:r w:rsidRPr="00F01378">
        <w:rPr>
          <w:rFonts w:ascii="Bookman Old Style" w:hAnsi="Bookman Old Style"/>
          <w:sz w:val="24"/>
          <w:szCs w:val="24"/>
        </w:rPr>
        <w:t>Terhadap pertanyaan tersebut</w:t>
      </w:r>
      <w:r>
        <w:rPr>
          <w:rFonts w:ascii="Bookman Old Style" w:hAnsi="Bookman Old Style"/>
          <w:i/>
          <w:sz w:val="24"/>
          <w:szCs w:val="24"/>
        </w:rPr>
        <w:t xml:space="preserve">, Pompe </w:t>
      </w:r>
      <w:r>
        <w:rPr>
          <w:rFonts w:ascii="Bookman Old Style" w:hAnsi="Bookman Old Style"/>
          <w:sz w:val="24"/>
          <w:szCs w:val="24"/>
        </w:rPr>
        <w:t xml:space="preserve">memberikan jawaban bahwa putusan hakim yang telah memiliki kekuatan hukum tetap hanya bisa dilawan dengan </w:t>
      </w:r>
      <w:r>
        <w:rPr>
          <w:rFonts w:ascii="Bookman Old Style" w:hAnsi="Bookman Old Style"/>
          <w:i/>
          <w:sz w:val="24"/>
          <w:szCs w:val="24"/>
        </w:rPr>
        <w:t xml:space="preserve">buitengewone rechtsmiddelen </w:t>
      </w:r>
      <w:r>
        <w:rPr>
          <w:rFonts w:ascii="Bookman Old Style" w:hAnsi="Bookman Old Style"/>
          <w:sz w:val="24"/>
          <w:szCs w:val="24"/>
        </w:rPr>
        <w:t xml:space="preserve">(alat-alat hukum yang laur biasa). Dalam hal ini, jika terjadi perubahan undang-undnag terhadap putusan hakim yang sudah memiliki kekuatan hukum tetap, maka perubahan perundang-undangan tersebut dianggap </w:t>
      </w:r>
      <w:r>
        <w:rPr>
          <w:rFonts w:ascii="Bookman Old Style" w:hAnsi="Bookman Old Style"/>
          <w:i/>
          <w:sz w:val="24"/>
          <w:szCs w:val="24"/>
        </w:rPr>
        <w:t>novum</w:t>
      </w:r>
      <w:r>
        <w:rPr>
          <w:rFonts w:ascii="Bookman Old Style" w:hAnsi="Bookman Old Style"/>
          <w:sz w:val="24"/>
          <w:szCs w:val="24"/>
        </w:rPr>
        <w:t xml:space="preserve"> sebagai dasar untuk mengajukan peninjauan kembali (PK). Jika demikian halnya</w:t>
      </w:r>
      <w:r w:rsidR="007C6AA3">
        <w:rPr>
          <w:rFonts w:ascii="Bookman Old Style" w:hAnsi="Bookman Old Style"/>
          <w:sz w:val="24"/>
          <w:szCs w:val="24"/>
        </w:rPr>
        <w:t>, maka putusan hakim yang sudah mempunyai hukum tetap harus disesuaikan dengan peraturan perundang-und</w:t>
      </w:r>
      <w:r w:rsidR="003F0711">
        <w:rPr>
          <w:rFonts w:ascii="Bookman Old Style" w:hAnsi="Bookman Old Style"/>
          <w:sz w:val="24"/>
          <w:szCs w:val="24"/>
        </w:rPr>
        <w:t>angan</w:t>
      </w:r>
      <w:r w:rsidR="007C6AA3">
        <w:rPr>
          <w:rFonts w:ascii="Bookman Old Style" w:hAnsi="Bookman Old Style"/>
          <w:sz w:val="24"/>
          <w:szCs w:val="24"/>
        </w:rPr>
        <w:t xml:space="preserve"> baru bila hal tersebut menguntungkan terpidana.</w:t>
      </w:r>
      <w:r w:rsidR="000D6E78">
        <w:rPr>
          <w:rFonts w:ascii="Bookman Old Style" w:hAnsi="Bookman Old Style"/>
          <w:sz w:val="24"/>
          <w:szCs w:val="24"/>
        </w:rPr>
        <w:t xml:space="preserve"> </w:t>
      </w:r>
    </w:p>
    <w:p w:rsidR="007A18D1" w:rsidRDefault="007A18D1" w:rsidP="00E02AEE">
      <w:pPr>
        <w:spacing w:after="0"/>
        <w:ind w:firstLine="720"/>
        <w:jc w:val="both"/>
        <w:rPr>
          <w:rFonts w:ascii="Bookman Old Style" w:hAnsi="Bookman Old Style"/>
          <w:sz w:val="24"/>
          <w:szCs w:val="24"/>
        </w:rPr>
      </w:pPr>
      <w:r>
        <w:rPr>
          <w:rFonts w:ascii="Bookman Old Style" w:hAnsi="Bookman Old Style"/>
          <w:sz w:val="24"/>
          <w:szCs w:val="24"/>
        </w:rPr>
        <w:t xml:space="preserve">Lebih jauh lagi dilihat, bahwa yang mendapat imbas dari sanksi pemidanaan adalah individu sebagai pelaku,dan juga keluarga pelaku. Ketika seseorang menjadi mantan narapidana maka kesulitan-kesulitan secara administrasi akan sulit pula ia dapatkan, misalnya beberapa ketentuan administrasi untuk pekerjaan yang mengharuskan seseorang melengkapi persyaratan berkelakuan baik. Namun bagi seorang mantan terpidana, tentu hal ini sulit didapatkan, mengingat rekam jejak tindak pidana yang dilakukan. </w:t>
      </w:r>
      <w:r w:rsidR="003F0711">
        <w:rPr>
          <w:rFonts w:ascii="Bookman Old Style" w:hAnsi="Bookman Old Style"/>
          <w:sz w:val="24"/>
          <w:szCs w:val="24"/>
        </w:rPr>
        <w:t>Hal ini</w:t>
      </w:r>
      <w:r>
        <w:rPr>
          <w:rFonts w:ascii="Bookman Old Style" w:hAnsi="Bookman Old Style"/>
          <w:sz w:val="24"/>
          <w:szCs w:val="24"/>
        </w:rPr>
        <w:t xml:space="preserve"> bukan hanya berlaku bagi </w:t>
      </w:r>
      <w:r w:rsidR="003F0711">
        <w:rPr>
          <w:rFonts w:ascii="Bookman Old Style" w:hAnsi="Bookman Old Style"/>
          <w:sz w:val="24"/>
          <w:szCs w:val="24"/>
        </w:rPr>
        <w:t>delik yang masih menjadi tindak pidana</w:t>
      </w:r>
      <w:r>
        <w:rPr>
          <w:rFonts w:ascii="Bookman Old Style" w:hAnsi="Bookman Old Style"/>
          <w:sz w:val="24"/>
          <w:szCs w:val="24"/>
        </w:rPr>
        <w:t xml:space="preserve">, untuk </w:t>
      </w:r>
      <w:r w:rsidR="003F0711">
        <w:rPr>
          <w:rFonts w:ascii="Bookman Old Style" w:hAnsi="Bookman Old Style"/>
          <w:sz w:val="24"/>
          <w:szCs w:val="24"/>
        </w:rPr>
        <w:t xml:space="preserve">delik </w:t>
      </w:r>
      <w:r>
        <w:rPr>
          <w:rFonts w:ascii="Bookman Old Style" w:hAnsi="Bookman Old Style"/>
          <w:sz w:val="24"/>
          <w:szCs w:val="24"/>
        </w:rPr>
        <w:t xml:space="preserve"> yang dianggap </w:t>
      </w:r>
      <w:r w:rsidR="003F0711">
        <w:rPr>
          <w:rFonts w:ascii="Bookman Old Style" w:hAnsi="Bookman Old Style"/>
          <w:sz w:val="24"/>
          <w:szCs w:val="24"/>
        </w:rPr>
        <w:t>bukan lagi tindak pidana, pengalbelan pada mantan terpidana masih terjadi. Padahal delik yang menyebabnkan ia menjadi terpidana dan menjadi mantan terpidana telah mengalami dekriminalisasi. Olehnya patut pula seorang mantan terpidana mendapatkan pembersihan nama baik terhadap delik yang ia lakukan dan telah  mengalami dekriminalisasi. Pembersihan nama baik yang ia dapatkan tentu akan berdampak pada diri mantan terpidana tersebut dan juga terhadap keluarga mantan terpidana yang terlanjur mendapatkan penglabelan oleh masyarakat.</w:t>
      </w:r>
    </w:p>
    <w:p w:rsidR="003F0711" w:rsidRPr="00C62A5C" w:rsidRDefault="003F0711" w:rsidP="00E02AEE">
      <w:pPr>
        <w:spacing w:after="0"/>
        <w:ind w:firstLine="720"/>
        <w:jc w:val="both"/>
        <w:rPr>
          <w:rFonts w:ascii="Bookman Old Style" w:hAnsi="Bookman Old Style"/>
          <w:i/>
          <w:sz w:val="24"/>
          <w:szCs w:val="24"/>
        </w:rPr>
      </w:pPr>
    </w:p>
    <w:p w:rsidR="00A34E88" w:rsidRDefault="00A34E88" w:rsidP="00A34E88">
      <w:pPr>
        <w:pStyle w:val="ListParagraph"/>
        <w:numPr>
          <w:ilvl w:val="0"/>
          <w:numId w:val="1"/>
        </w:numPr>
        <w:spacing w:after="0"/>
        <w:jc w:val="both"/>
        <w:rPr>
          <w:rFonts w:ascii="Bookman Old Style" w:hAnsi="Bookman Old Style"/>
          <w:b/>
          <w:sz w:val="24"/>
          <w:szCs w:val="24"/>
        </w:rPr>
      </w:pPr>
      <w:r>
        <w:rPr>
          <w:rFonts w:ascii="Bookman Old Style" w:hAnsi="Bookman Old Style"/>
          <w:b/>
          <w:sz w:val="24"/>
          <w:szCs w:val="24"/>
        </w:rPr>
        <w:t>KESIMPULAN</w:t>
      </w:r>
    </w:p>
    <w:p w:rsidR="000C0CBC" w:rsidRDefault="000C0CBC" w:rsidP="000C0CBC">
      <w:pPr>
        <w:pStyle w:val="ListParagraph"/>
        <w:spacing w:after="0"/>
        <w:jc w:val="both"/>
        <w:rPr>
          <w:rFonts w:ascii="Bookman Old Style" w:hAnsi="Bookman Old Style"/>
          <w:sz w:val="24"/>
          <w:szCs w:val="24"/>
        </w:rPr>
      </w:pPr>
    </w:p>
    <w:p w:rsidR="00861D9E" w:rsidRPr="00861D9E" w:rsidRDefault="00C133D3" w:rsidP="00FE659E">
      <w:pPr>
        <w:pStyle w:val="ListParagraph"/>
        <w:numPr>
          <w:ilvl w:val="0"/>
          <w:numId w:val="7"/>
        </w:numPr>
        <w:spacing w:after="0"/>
        <w:ind w:left="364"/>
        <w:jc w:val="both"/>
        <w:rPr>
          <w:rFonts w:ascii="Bookman Old Style" w:hAnsi="Bookman Old Style"/>
          <w:b/>
          <w:sz w:val="24"/>
          <w:szCs w:val="24"/>
        </w:rPr>
      </w:pPr>
      <w:r w:rsidRPr="00861D9E">
        <w:rPr>
          <w:rFonts w:ascii="Bookman Old Style" w:hAnsi="Bookman Old Style"/>
          <w:sz w:val="24"/>
          <w:szCs w:val="24"/>
        </w:rPr>
        <w:t xml:space="preserve">Dekriminalisasi terjadi karena adanya perubahan paradigma terhadap sebuah delik. </w:t>
      </w:r>
      <w:r w:rsidR="00861D9E">
        <w:rPr>
          <w:rFonts w:ascii="Bookman Old Style" w:hAnsi="Bookman Old Style"/>
          <w:sz w:val="24"/>
          <w:szCs w:val="24"/>
        </w:rPr>
        <w:t>Dimana</w:t>
      </w:r>
      <w:r w:rsidR="00861D9E" w:rsidRPr="00861D9E">
        <w:rPr>
          <w:rFonts w:ascii="Bookman Old Style" w:hAnsi="Bookman Old Style"/>
          <w:sz w:val="24"/>
          <w:szCs w:val="24"/>
        </w:rPr>
        <w:t xml:space="preserve"> </w:t>
      </w:r>
      <w:r w:rsidRPr="00861D9E">
        <w:rPr>
          <w:rFonts w:ascii="Bookman Old Style" w:hAnsi="Bookman Old Style"/>
          <w:sz w:val="24"/>
          <w:szCs w:val="24"/>
        </w:rPr>
        <w:t>delik yang dulunya dianggap sebagai tindak pidana menjadi bukan lagi tindak pidana</w:t>
      </w:r>
      <w:r w:rsidR="00861D9E">
        <w:rPr>
          <w:rFonts w:ascii="Bookman Old Style" w:hAnsi="Bookman Old Style"/>
          <w:sz w:val="24"/>
          <w:szCs w:val="24"/>
        </w:rPr>
        <w:t>, bahkan pengaturan dekriminalisasi hanya tersirat disebutkan dalam Pasal 1 ayat (2) KUHP. Dekriminalisasi tidak cukup hanya mempertimbangkan keberadaan terdakwa, namun juga harus mempertimbangkan keberadaan terpidana dan mantan terpidana.</w:t>
      </w:r>
    </w:p>
    <w:p w:rsidR="00C133D3" w:rsidRPr="00861D9E" w:rsidRDefault="00C133D3" w:rsidP="00FE659E">
      <w:pPr>
        <w:pStyle w:val="ListParagraph"/>
        <w:numPr>
          <w:ilvl w:val="0"/>
          <w:numId w:val="7"/>
        </w:numPr>
        <w:spacing w:after="0"/>
        <w:ind w:left="364"/>
        <w:jc w:val="both"/>
        <w:rPr>
          <w:rFonts w:ascii="Bookman Old Style" w:hAnsi="Bookman Old Style"/>
          <w:b/>
          <w:sz w:val="24"/>
          <w:szCs w:val="24"/>
        </w:rPr>
      </w:pPr>
      <w:r w:rsidRPr="00861D9E">
        <w:rPr>
          <w:rFonts w:ascii="Bookman Old Style" w:hAnsi="Bookman Old Style"/>
          <w:sz w:val="24"/>
          <w:szCs w:val="24"/>
        </w:rPr>
        <w:t xml:space="preserve">Subjek Dekriminalisasi dalam Pasal 1 ayat (2) KUHP adalah terdakwa, bukan terpidana maupun mantan terpidana. </w:t>
      </w:r>
      <w:r w:rsidR="00861D9E">
        <w:rPr>
          <w:rFonts w:ascii="Bookman Old Style" w:hAnsi="Bookman Old Style"/>
          <w:sz w:val="24"/>
          <w:szCs w:val="24"/>
        </w:rPr>
        <w:t>Peraturan ini</w:t>
      </w:r>
      <w:r w:rsidRPr="00861D9E">
        <w:rPr>
          <w:rFonts w:ascii="Bookman Old Style" w:hAnsi="Bookman Old Style"/>
          <w:sz w:val="24"/>
          <w:szCs w:val="24"/>
        </w:rPr>
        <w:t xml:space="preserve"> perlu diubah sebab perubahan paradigma sebuah delik menjadi bukan delik </w:t>
      </w:r>
      <w:r w:rsidR="006668DF">
        <w:rPr>
          <w:rFonts w:ascii="Bookman Old Style" w:hAnsi="Bookman Old Style"/>
          <w:sz w:val="24"/>
          <w:szCs w:val="24"/>
        </w:rPr>
        <w:t xml:space="preserve">                      </w:t>
      </w:r>
      <w:r w:rsidRPr="00861D9E">
        <w:rPr>
          <w:rFonts w:ascii="Bookman Old Style" w:hAnsi="Bookman Old Style"/>
          <w:sz w:val="24"/>
          <w:szCs w:val="24"/>
        </w:rPr>
        <w:t>artinya tidak ada pertanggungjawaban pidana yang harus dipertanggungjawabkan, dimana tidak ada unsur kesalahan yang harus di pertanggungjawabkan oleh terpidana.</w:t>
      </w:r>
      <w:r w:rsidR="006668DF">
        <w:rPr>
          <w:rFonts w:ascii="Bookman Old Style" w:hAnsi="Bookman Old Style"/>
          <w:sz w:val="24"/>
          <w:szCs w:val="24"/>
        </w:rPr>
        <w:t xml:space="preserve"> </w:t>
      </w:r>
    </w:p>
    <w:p w:rsidR="00861D9E" w:rsidRPr="00861D9E" w:rsidRDefault="00861D9E" w:rsidP="00FE659E">
      <w:pPr>
        <w:pStyle w:val="ListParagraph"/>
        <w:numPr>
          <w:ilvl w:val="0"/>
          <w:numId w:val="7"/>
        </w:numPr>
        <w:spacing w:after="0"/>
        <w:ind w:left="364"/>
        <w:jc w:val="both"/>
        <w:rPr>
          <w:rFonts w:ascii="Bookman Old Style" w:hAnsi="Bookman Old Style"/>
          <w:b/>
          <w:sz w:val="24"/>
          <w:szCs w:val="24"/>
        </w:rPr>
      </w:pPr>
      <w:r>
        <w:rPr>
          <w:rFonts w:ascii="Bookman Old Style" w:hAnsi="Bookman Old Style"/>
          <w:sz w:val="24"/>
          <w:szCs w:val="24"/>
        </w:rPr>
        <w:t xml:space="preserve">Memasukan perubahan peraturan (dekriminalisasi) sebagai novum, sehingga terpidana dapat mengambil langkah untuk melakukan Peninjauan Kembali atas sanksi delik sedang ia jalani. </w:t>
      </w:r>
    </w:p>
    <w:p w:rsidR="00C133D3" w:rsidRPr="00C133D3" w:rsidRDefault="00C133D3" w:rsidP="00FE659E">
      <w:pPr>
        <w:pStyle w:val="ListParagraph"/>
        <w:numPr>
          <w:ilvl w:val="0"/>
          <w:numId w:val="7"/>
        </w:numPr>
        <w:spacing w:after="0"/>
        <w:ind w:left="364"/>
        <w:jc w:val="both"/>
        <w:rPr>
          <w:rFonts w:ascii="Bookman Old Style" w:hAnsi="Bookman Old Style"/>
          <w:b/>
          <w:sz w:val="24"/>
          <w:szCs w:val="24"/>
        </w:rPr>
      </w:pPr>
      <w:r>
        <w:rPr>
          <w:rFonts w:ascii="Bookman Old Style" w:hAnsi="Bookman Old Style"/>
          <w:sz w:val="24"/>
          <w:szCs w:val="24"/>
        </w:rPr>
        <w:t>Dekriminalisasi bukan hanya dirasakan oleh terdakwa dan terpidana, harus juga dirasakan oleh mantan terpidana. Hal ini berkaitan erat dengan pembersihan nama baik yang mana seseorang akan selalu dilabelkan sebagai seorang mantan terpidana padahal delik yang dilakukan bukan lagi tindak pidana, tentu ini bertentangan dengan teori keadilan.</w:t>
      </w:r>
    </w:p>
    <w:p w:rsidR="00C133D3" w:rsidRDefault="00C133D3" w:rsidP="00C133D3">
      <w:pPr>
        <w:pStyle w:val="ListParagraph"/>
        <w:spacing w:after="0"/>
        <w:ind w:left="1134"/>
        <w:jc w:val="both"/>
        <w:rPr>
          <w:rFonts w:ascii="Bookman Old Style" w:hAnsi="Bookman Old Style"/>
          <w:b/>
          <w:sz w:val="24"/>
          <w:szCs w:val="24"/>
        </w:rPr>
      </w:pPr>
    </w:p>
    <w:p w:rsidR="00503F55" w:rsidRDefault="00503F55" w:rsidP="00BE227A">
      <w:pPr>
        <w:spacing w:after="0"/>
        <w:jc w:val="both"/>
        <w:rPr>
          <w:rFonts w:ascii="Bookman Old Style" w:hAnsi="Bookman Old Style"/>
          <w:b/>
          <w:sz w:val="24"/>
          <w:szCs w:val="24"/>
        </w:rPr>
      </w:pPr>
      <w:r w:rsidRPr="00A34E88">
        <w:rPr>
          <w:rFonts w:ascii="Bookman Old Style" w:hAnsi="Bookman Old Style"/>
          <w:b/>
          <w:sz w:val="24"/>
          <w:szCs w:val="24"/>
        </w:rPr>
        <w:t>DAFTAR PUSTAKA</w:t>
      </w:r>
    </w:p>
    <w:p w:rsidR="00FE659E" w:rsidRDefault="00FE659E" w:rsidP="00BE227A">
      <w:pPr>
        <w:spacing w:after="0"/>
        <w:jc w:val="both"/>
        <w:rPr>
          <w:rFonts w:ascii="Bookman Old Style" w:hAnsi="Bookman Old Style"/>
          <w:b/>
          <w:sz w:val="24"/>
          <w:szCs w:val="24"/>
        </w:rPr>
      </w:pPr>
    </w:p>
    <w:p w:rsidR="00DE34EB" w:rsidRDefault="00DE34EB" w:rsidP="00DE34EB">
      <w:pPr>
        <w:spacing w:after="0"/>
        <w:ind w:left="709" w:hanging="709"/>
        <w:jc w:val="both"/>
        <w:rPr>
          <w:rFonts w:ascii="Bookman Old Style" w:hAnsi="Bookman Old Style"/>
          <w:sz w:val="24"/>
          <w:szCs w:val="24"/>
        </w:rPr>
      </w:pPr>
      <w:r>
        <w:rPr>
          <w:rFonts w:ascii="Bookman Old Style" w:hAnsi="Bookman Old Style"/>
          <w:sz w:val="24"/>
          <w:szCs w:val="24"/>
        </w:rPr>
        <w:t xml:space="preserve">Adam Chazawi, 2007, </w:t>
      </w:r>
      <w:r>
        <w:rPr>
          <w:rFonts w:ascii="Bookman Old Style" w:hAnsi="Bookman Old Style"/>
          <w:i/>
          <w:sz w:val="24"/>
          <w:szCs w:val="24"/>
        </w:rPr>
        <w:t xml:space="preserve">Pelajaran Hukum Pidana Bagian I, </w:t>
      </w:r>
      <w:r>
        <w:rPr>
          <w:rFonts w:ascii="Bookman Old Style" w:hAnsi="Bookman Old Style"/>
          <w:sz w:val="24"/>
          <w:szCs w:val="24"/>
        </w:rPr>
        <w:t xml:space="preserve"> PT Raja Grafindo Persada, Jakarta.</w:t>
      </w:r>
    </w:p>
    <w:p w:rsidR="00F62E7F" w:rsidRDefault="00F62E7F" w:rsidP="00DE34EB">
      <w:pPr>
        <w:spacing w:after="0"/>
        <w:ind w:left="709" w:hanging="709"/>
        <w:jc w:val="both"/>
        <w:rPr>
          <w:rFonts w:ascii="Bookman Old Style" w:hAnsi="Bookman Old Style"/>
          <w:sz w:val="24"/>
          <w:szCs w:val="24"/>
        </w:rPr>
      </w:pPr>
    </w:p>
    <w:p w:rsidR="00233D80" w:rsidRDefault="00F62E7F" w:rsidP="00DE34EB">
      <w:pPr>
        <w:spacing w:after="0"/>
        <w:ind w:left="709" w:hanging="709"/>
        <w:jc w:val="both"/>
        <w:rPr>
          <w:rFonts w:ascii="Bookman Old Style" w:hAnsi="Bookman Old Style"/>
          <w:sz w:val="24"/>
          <w:szCs w:val="24"/>
        </w:rPr>
      </w:pPr>
      <w:r>
        <w:rPr>
          <w:rFonts w:ascii="Bookman Old Style" w:hAnsi="Bookman Old Style"/>
          <w:sz w:val="24"/>
          <w:szCs w:val="24"/>
        </w:rPr>
        <w:t>Barda Nawawi</w:t>
      </w:r>
      <w:r>
        <w:t xml:space="preserve"> </w:t>
      </w:r>
      <w:r>
        <w:rPr>
          <w:rFonts w:ascii="Bookman Old Style" w:hAnsi="Bookman Old Style"/>
          <w:sz w:val="24"/>
          <w:szCs w:val="24"/>
        </w:rPr>
        <w:t xml:space="preserve">Arief, </w:t>
      </w:r>
      <w:r w:rsidR="002A55A2" w:rsidRPr="002A55A2">
        <w:rPr>
          <w:rFonts w:ascii="Bookman Old Style" w:hAnsi="Bookman Old Style"/>
          <w:sz w:val="24"/>
          <w:szCs w:val="24"/>
        </w:rPr>
        <w:t xml:space="preserve">2012, </w:t>
      </w:r>
      <w:r w:rsidR="002A55A2" w:rsidRPr="00F356BE">
        <w:rPr>
          <w:rFonts w:ascii="Bookman Old Style" w:hAnsi="Bookman Old Style"/>
          <w:i/>
          <w:sz w:val="24"/>
          <w:szCs w:val="24"/>
        </w:rPr>
        <w:t>Kebijakan Formulasi Ketentuan Pidana Dalam Peraturan Perundang-Undangan</w:t>
      </w:r>
      <w:r w:rsidR="002A55A2" w:rsidRPr="002A55A2">
        <w:rPr>
          <w:rFonts w:ascii="Bookman Old Style" w:hAnsi="Bookman Old Style"/>
          <w:sz w:val="24"/>
          <w:szCs w:val="24"/>
        </w:rPr>
        <w:t>, Pustaka Magister, Semarang.</w:t>
      </w:r>
    </w:p>
    <w:p w:rsidR="00F62E7F" w:rsidRDefault="00F62E7F" w:rsidP="00DE34EB">
      <w:pPr>
        <w:spacing w:after="0"/>
        <w:ind w:left="709" w:hanging="709"/>
        <w:jc w:val="both"/>
        <w:rPr>
          <w:rFonts w:ascii="Bookman Old Style" w:hAnsi="Bookman Old Style"/>
          <w:sz w:val="24"/>
          <w:szCs w:val="24"/>
        </w:rPr>
      </w:pPr>
    </w:p>
    <w:p w:rsidR="006668DF" w:rsidRDefault="00FE659E" w:rsidP="00FE659E">
      <w:pPr>
        <w:spacing w:after="0"/>
        <w:ind w:left="709" w:hanging="709"/>
        <w:jc w:val="both"/>
        <w:rPr>
          <w:rFonts w:ascii="Bookman Old Style" w:hAnsi="Bookman Old Style"/>
          <w:sz w:val="24"/>
          <w:szCs w:val="24"/>
        </w:rPr>
      </w:pPr>
      <w:r w:rsidRPr="00FE659E">
        <w:rPr>
          <w:rFonts w:ascii="Bookman Old Style" w:hAnsi="Bookman Old Style"/>
          <w:sz w:val="24"/>
          <w:szCs w:val="24"/>
        </w:rPr>
        <w:t xml:space="preserve">Eddy O.S Hiariej, </w:t>
      </w:r>
      <w:r>
        <w:rPr>
          <w:rFonts w:ascii="Bookman Old Style" w:hAnsi="Bookman Old Style"/>
          <w:sz w:val="24"/>
          <w:szCs w:val="24"/>
        </w:rPr>
        <w:t xml:space="preserve">2009, </w:t>
      </w:r>
      <w:r w:rsidRPr="00FE659E">
        <w:rPr>
          <w:rFonts w:ascii="Bookman Old Style" w:hAnsi="Bookman Old Style"/>
          <w:sz w:val="24"/>
          <w:szCs w:val="24"/>
        </w:rPr>
        <w:t xml:space="preserve"> Asas Legalitas &amp; Penemuan Hukum dalam Hukum Pidana, Erlangga, Jakarta</w:t>
      </w:r>
      <w:r w:rsidR="00616C84">
        <w:rPr>
          <w:rFonts w:ascii="Bookman Old Style" w:hAnsi="Bookman Old Style"/>
          <w:sz w:val="24"/>
          <w:szCs w:val="24"/>
        </w:rPr>
        <w:t>.</w:t>
      </w:r>
    </w:p>
    <w:p w:rsidR="00DE34EB" w:rsidRDefault="00DE34EB" w:rsidP="00FE659E">
      <w:pPr>
        <w:spacing w:after="0"/>
        <w:ind w:left="709" w:hanging="709"/>
        <w:jc w:val="both"/>
        <w:rPr>
          <w:rFonts w:ascii="Bookman Old Style" w:hAnsi="Bookman Old Style"/>
          <w:sz w:val="24"/>
          <w:szCs w:val="24"/>
        </w:rPr>
      </w:pPr>
    </w:p>
    <w:p w:rsidR="00DE34EB" w:rsidRDefault="00DE34EB" w:rsidP="00DE34EB">
      <w:pPr>
        <w:spacing w:after="0"/>
        <w:ind w:left="709" w:hanging="709"/>
        <w:jc w:val="both"/>
        <w:rPr>
          <w:rFonts w:ascii="Bookman Old Style" w:hAnsi="Bookman Old Style"/>
          <w:sz w:val="24"/>
          <w:szCs w:val="24"/>
        </w:rPr>
      </w:pPr>
      <w:r>
        <w:rPr>
          <w:rFonts w:ascii="Bookman Old Style" w:hAnsi="Bookman Old Style"/>
          <w:sz w:val="24"/>
          <w:szCs w:val="24"/>
        </w:rPr>
        <w:t xml:space="preserve">E.Utrecht, 1960, </w:t>
      </w:r>
      <w:r>
        <w:rPr>
          <w:rFonts w:ascii="Bookman Old Style" w:hAnsi="Bookman Old Style"/>
          <w:i/>
          <w:sz w:val="24"/>
          <w:szCs w:val="24"/>
        </w:rPr>
        <w:t xml:space="preserve">Hukum Pidana I, </w:t>
      </w:r>
      <w:r>
        <w:rPr>
          <w:rFonts w:ascii="Bookman Old Style" w:hAnsi="Bookman Old Style"/>
          <w:sz w:val="24"/>
          <w:szCs w:val="24"/>
        </w:rPr>
        <w:t xml:space="preserve"> Penerbitan Universitas, Bandung.</w:t>
      </w:r>
    </w:p>
    <w:p w:rsidR="00E83860" w:rsidRDefault="00E83860" w:rsidP="00DE34EB">
      <w:pPr>
        <w:spacing w:after="0"/>
        <w:ind w:left="709" w:hanging="709"/>
        <w:jc w:val="both"/>
        <w:rPr>
          <w:rFonts w:ascii="Bookman Old Style" w:hAnsi="Bookman Old Style"/>
          <w:sz w:val="24"/>
          <w:szCs w:val="24"/>
        </w:rPr>
      </w:pPr>
    </w:p>
    <w:p w:rsidR="00DE34EB" w:rsidRDefault="00DE34EB" w:rsidP="00DE34EB">
      <w:pPr>
        <w:spacing w:after="0"/>
        <w:ind w:left="709" w:hanging="709"/>
        <w:jc w:val="both"/>
        <w:rPr>
          <w:rFonts w:ascii="Bookman Old Style" w:hAnsi="Bookman Old Style"/>
          <w:sz w:val="24"/>
          <w:szCs w:val="24"/>
        </w:rPr>
      </w:pPr>
      <w:r>
        <w:rPr>
          <w:rFonts w:ascii="Bookman Old Style" w:hAnsi="Bookman Old Style"/>
          <w:sz w:val="24"/>
          <w:szCs w:val="24"/>
        </w:rPr>
        <w:t xml:space="preserve">Muladi dan Barda Nawawi Arief, 2010, </w:t>
      </w:r>
      <w:r>
        <w:rPr>
          <w:rFonts w:ascii="Bookman Old Style" w:hAnsi="Bookman Old Style"/>
          <w:i/>
          <w:sz w:val="24"/>
          <w:szCs w:val="24"/>
        </w:rPr>
        <w:t xml:space="preserve"> Teori – teori dan Kebijakan Pidana, </w:t>
      </w:r>
      <w:r>
        <w:rPr>
          <w:rFonts w:ascii="Bookman Old Style" w:hAnsi="Bookman Old Style"/>
          <w:sz w:val="24"/>
          <w:szCs w:val="24"/>
        </w:rPr>
        <w:t xml:space="preserve"> Alumni, Bandung.</w:t>
      </w:r>
    </w:p>
    <w:p w:rsidR="00DE34EB" w:rsidRDefault="00DE34EB" w:rsidP="00DE34EB">
      <w:pPr>
        <w:spacing w:after="0"/>
        <w:ind w:left="709" w:hanging="709"/>
        <w:jc w:val="both"/>
        <w:rPr>
          <w:rFonts w:ascii="Bookman Old Style" w:hAnsi="Bookman Old Style"/>
          <w:sz w:val="24"/>
          <w:szCs w:val="24"/>
        </w:rPr>
      </w:pPr>
    </w:p>
    <w:p w:rsidR="00DE34EB" w:rsidRPr="00DE34EB" w:rsidRDefault="00DE34EB" w:rsidP="00DE34EB">
      <w:pPr>
        <w:spacing w:after="0"/>
        <w:ind w:left="709" w:hanging="709"/>
        <w:jc w:val="both"/>
        <w:rPr>
          <w:rFonts w:ascii="Bookman Old Style" w:hAnsi="Bookman Old Style"/>
          <w:sz w:val="24"/>
          <w:szCs w:val="24"/>
        </w:rPr>
      </w:pPr>
      <w:r>
        <w:rPr>
          <w:rFonts w:ascii="Bookman Old Style" w:hAnsi="Bookman Old Style"/>
          <w:sz w:val="24"/>
          <w:szCs w:val="24"/>
        </w:rPr>
        <w:t xml:space="preserve">Moeljatno,S.H., 2015, </w:t>
      </w:r>
      <w:r>
        <w:rPr>
          <w:rFonts w:ascii="Bookman Old Style" w:hAnsi="Bookman Old Style"/>
          <w:i/>
          <w:sz w:val="24"/>
          <w:szCs w:val="24"/>
        </w:rPr>
        <w:t xml:space="preserve">Asas-asas Hukum Pidana, </w:t>
      </w:r>
      <w:r>
        <w:rPr>
          <w:rFonts w:ascii="Bookman Old Style" w:hAnsi="Bookman Old Style"/>
          <w:sz w:val="24"/>
          <w:szCs w:val="24"/>
        </w:rPr>
        <w:t>Rineka Cipta, Jakarta.</w:t>
      </w:r>
    </w:p>
    <w:p w:rsidR="00FE659E" w:rsidRDefault="00FE659E" w:rsidP="00FE659E">
      <w:pPr>
        <w:spacing w:after="0"/>
        <w:ind w:left="709" w:hanging="709"/>
        <w:jc w:val="both"/>
        <w:rPr>
          <w:rFonts w:ascii="Bookman Old Style" w:hAnsi="Bookman Old Style"/>
          <w:sz w:val="24"/>
          <w:szCs w:val="24"/>
        </w:rPr>
      </w:pPr>
    </w:p>
    <w:p w:rsidR="00DE34EB" w:rsidRDefault="00DE34EB" w:rsidP="00DE34EB">
      <w:pPr>
        <w:spacing w:after="0"/>
        <w:ind w:left="709" w:hanging="709"/>
        <w:jc w:val="both"/>
        <w:rPr>
          <w:rFonts w:ascii="Bookman Old Style" w:hAnsi="Bookman Old Style"/>
          <w:sz w:val="24"/>
          <w:szCs w:val="24"/>
        </w:rPr>
      </w:pPr>
      <w:r w:rsidRPr="006668DF">
        <w:rPr>
          <w:rFonts w:ascii="Bookman Old Style" w:hAnsi="Bookman Old Style"/>
          <w:sz w:val="24"/>
          <w:szCs w:val="24"/>
        </w:rPr>
        <w:t xml:space="preserve">Sudarto, 1983, </w:t>
      </w:r>
      <w:r w:rsidRPr="006668DF">
        <w:rPr>
          <w:rFonts w:ascii="Bookman Old Style" w:hAnsi="Bookman Old Style"/>
          <w:i/>
          <w:sz w:val="24"/>
          <w:szCs w:val="24"/>
        </w:rPr>
        <w:t>Hukum Pidana dan Perkembangan Masyarakata</w:t>
      </w:r>
      <w:r w:rsidRPr="006668DF">
        <w:rPr>
          <w:rFonts w:ascii="Bookman Old Style" w:hAnsi="Bookman Old Style"/>
          <w:sz w:val="24"/>
          <w:szCs w:val="24"/>
        </w:rPr>
        <w:t>, Sinar Baru, Bandung</w:t>
      </w:r>
      <w:r>
        <w:rPr>
          <w:rFonts w:ascii="Bookman Old Style" w:hAnsi="Bookman Old Style"/>
          <w:sz w:val="24"/>
          <w:szCs w:val="24"/>
        </w:rPr>
        <w:t>.</w:t>
      </w:r>
    </w:p>
    <w:p w:rsidR="00DE34EB" w:rsidRDefault="00DE34EB" w:rsidP="00DE34EB">
      <w:pPr>
        <w:spacing w:after="0"/>
        <w:ind w:left="709" w:hanging="709"/>
        <w:jc w:val="both"/>
        <w:rPr>
          <w:rFonts w:ascii="Bookman Old Style" w:hAnsi="Bookman Old Style"/>
          <w:sz w:val="24"/>
          <w:szCs w:val="24"/>
        </w:rPr>
      </w:pPr>
    </w:p>
    <w:p w:rsidR="00FE659E" w:rsidRDefault="00233D80" w:rsidP="006668DF">
      <w:pPr>
        <w:spacing w:after="0"/>
        <w:ind w:left="709" w:hanging="709"/>
        <w:jc w:val="both"/>
        <w:rPr>
          <w:rFonts w:ascii="Bookman Old Style" w:hAnsi="Bookman Old Style"/>
          <w:sz w:val="24"/>
          <w:szCs w:val="24"/>
        </w:rPr>
      </w:pPr>
      <w:r>
        <w:rPr>
          <w:rFonts w:ascii="Bookman Old Style" w:hAnsi="Bookman Old Style"/>
          <w:sz w:val="24"/>
          <w:szCs w:val="24"/>
        </w:rPr>
        <w:t>Soerjono Soekanto</w:t>
      </w:r>
      <w:r w:rsidR="00FE659E" w:rsidRPr="00FE659E">
        <w:rPr>
          <w:rFonts w:ascii="Bookman Old Style" w:hAnsi="Bookman Old Style"/>
          <w:sz w:val="24"/>
          <w:szCs w:val="24"/>
        </w:rPr>
        <w:t xml:space="preserve">, </w:t>
      </w:r>
      <w:r w:rsidR="00FE659E">
        <w:rPr>
          <w:rFonts w:ascii="Bookman Old Style" w:hAnsi="Bookman Old Style"/>
          <w:sz w:val="24"/>
          <w:szCs w:val="24"/>
        </w:rPr>
        <w:t xml:space="preserve">2006, </w:t>
      </w:r>
      <w:r w:rsidR="00FE659E" w:rsidRPr="006668DF">
        <w:rPr>
          <w:rFonts w:ascii="Bookman Old Style" w:hAnsi="Bookman Old Style"/>
          <w:i/>
          <w:sz w:val="24"/>
          <w:szCs w:val="24"/>
        </w:rPr>
        <w:t>Perbandingan Hukum</w:t>
      </w:r>
      <w:r w:rsidR="00FE659E" w:rsidRPr="00FE659E">
        <w:rPr>
          <w:rFonts w:ascii="Bookman Old Style" w:hAnsi="Bookman Old Style"/>
          <w:sz w:val="24"/>
          <w:szCs w:val="24"/>
        </w:rPr>
        <w:t>, Citra Adiya Bakti , Bandung</w:t>
      </w:r>
      <w:r w:rsidR="00FE659E">
        <w:rPr>
          <w:rFonts w:ascii="Bookman Old Style" w:hAnsi="Bookman Old Style"/>
          <w:sz w:val="24"/>
          <w:szCs w:val="24"/>
        </w:rPr>
        <w:t>.</w:t>
      </w:r>
    </w:p>
    <w:p w:rsidR="00233D80" w:rsidRPr="00FE659E" w:rsidRDefault="00233D80" w:rsidP="006668DF">
      <w:pPr>
        <w:spacing w:after="0"/>
        <w:ind w:left="709" w:hanging="709"/>
        <w:jc w:val="both"/>
        <w:rPr>
          <w:rFonts w:ascii="Bookman Old Style" w:hAnsi="Bookman Old Style"/>
          <w:sz w:val="24"/>
          <w:szCs w:val="24"/>
        </w:rPr>
      </w:pPr>
    </w:p>
    <w:p w:rsidR="006668DF" w:rsidRDefault="00233D80" w:rsidP="00233D80">
      <w:pPr>
        <w:spacing w:after="0"/>
        <w:ind w:left="709" w:hanging="709"/>
        <w:jc w:val="both"/>
        <w:rPr>
          <w:rFonts w:ascii="Bookman Old Style" w:hAnsi="Bookman Old Style"/>
          <w:sz w:val="24"/>
          <w:szCs w:val="24"/>
        </w:rPr>
      </w:pPr>
      <w:r w:rsidRPr="00233D80">
        <w:rPr>
          <w:rFonts w:ascii="Bookman Old Style" w:hAnsi="Bookman Old Style"/>
          <w:sz w:val="24"/>
          <w:szCs w:val="24"/>
        </w:rPr>
        <w:t xml:space="preserve">Soekanto Soerjono dan Mamudji Sri, 1990, </w:t>
      </w:r>
      <w:r w:rsidRPr="00233D80">
        <w:rPr>
          <w:rFonts w:ascii="Bookman Old Style" w:hAnsi="Bookman Old Style"/>
          <w:i/>
          <w:sz w:val="24"/>
          <w:szCs w:val="24"/>
        </w:rPr>
        <w:t>Penelitian Hukum Normatif  Suatu Tinjaun Singkat</w:t>
      </w:r>
      <w:r w:rsidRPr="00233D80">
        <w:rPr>
          <w:rFonts w:ascii="Bookman Old Style" w:hAnsi="Bookman Old Style"/>
          <w:sz w:val="24"/>
          <w:szCs w:val="24"/>
        </w:rPr>
        <w:t>, Rajawali Press, Jakarta.</w:t>
      </w:r>
    </w:p>
    <w:p w:rsidR="00233D80" w:rsidRDefault="00233D80" w:rsidP="00FE659E">
      <w:pPr>
        <w:spacing w:after="0"/>
        <w:jc w:val="both"/>
        <w:rPr>
          <w:rFonts w:ascii="Bookman Old Style" w:hAnsi="Bookman Old Style"/>
          <w:sz w:val="24"/>
          <w:szCs w:val="24"/>
        </w:rPr>
      </w:pPr>
    </w:p>
    <w:p w:rsidR="00FE659E" w:rsidRDefault="00FE659E" w:rsidP="006668DF">
      <w:pPr>
        <w:spacing w:after="0"/>
        <w:ind w:left="709" w:hanging="709"/>
        <w:jc w:val="both"/>
        <w:rPr>
          <w:rFonts w:ascii="Bookman Old Style" w:hAnsi="Bookman Old Style"/>
          <w:sz w:val="24"/>
          <w:szCs w:val="24"/>
        </w:rPr>
      </w:pPr>
      <w:r w:rsidRPr="00FE659E">
        <w:rPr>
          <w:rFonts w:ascii="Bookman Old Style" w:hAnsi="Bookman Old Style"/>
          <w:sz w:val="24"/>
          <w:szCs w:val="24"/>
        </w:rPr>
        <w:t xml:space="preserve">Wirjono Prodjodikoro, </w:t>
      </w:r>
      <w:r w:rsidR="006668DF">
        <w:rPr>
          <w:rFonts w:ascii="Bookman Old Style" w:hAnsi="Bookman Old Style"/>
          <w:sz w:val="24"/>
          <w:szCs w:val="24"/>
        </w:rPr>
        <w:t xml:space="preserve">2003, </w:t>
      </w:r>
      <w:r w:rsidRPr="006668DF">
        <w:rPr>
          <w:rFonts w:ascii="Bookman Old Style" w:hAnsi="Bookman Old Style"/>
          <w:i/>
          <w:sz w:val="24"/>
          <w:szCs w:val="24"/>
        </w:rPr>
        <w:t>Asas-asas Hukum Pidana di Indonesia</w:t>
      </w:r>
      <w:r w:rsidRPr="00FE659E">
        <w:rPr>
          <w:rFonts w:ascii="Bookman Old Style" w:hAnsi="Bookman Old Style"/>
          <w:sz w:val="24"/>
          <w:szCs w:val="24"/>
        </w:rPr>
        <w:t>,  Refika Aditama, Bandung</w:t>
      </w:r>
      <w:r w:rsidR="006668DF">
        <w:rPr>
          <w:rFonts w:ascii="Bookman Old Style" w:hAnsi="Bookman Old Style"/>
          <w:sz w:val="24"/>
          <w:szCs w:val="24"/>
        </w:rPr>
        <w:t>.</w:t>
      </w:r>
    </w:p>
    <w:p w:rsidR="00991C13" w:rsidRPr="00E83860" w:rsidRDefault="00991C13" w:rsidP="00991C13">
      <w:pPr>
        <w:spacing w:after="0"/>
        <w:ind w:left="709" w:hanging="709"/>
        <w:jc w:val="both"/>
        <w:rPr>
          <w:rFonts w:ascii="Bookman Old Style" w:hAnsi="Bookman Old Style"/>
          <w:sz w:val="24"/>
          <w:szCs w:val="24"/>
        </w:rPr>
      </w:pPr>
      <w:r>
        <w:rPr>
          <w:rFonts w:ascii="Bookman Old Style" w:hAnsi="Bookman Old Style"/>
          <w:sz w:val="24"/>
          <w:szCs w:val="24"/>
        </w:rPr>
        <w:t xml:space="preserve">Zainal Abidin Farid, 2010, </w:t>
      </w:r>
      <w:r>
        <w:rPr>
          <w:rFonts w:ascii="Bookman Old Style" w:hAnsi="Bookman Old Style"/>
          <w:i/>
          <w:sz w:val="24"/>
          <w:szCs w:val="24"/>
        </w:rPr>
        <w:t xml:space="preserve">Hukum Pidana I, </w:t>
      </w:r>
      <w:r>
        <w:rPr>
          <w:rFonts w:ascii="Bookman Old Style" w:hAnsi="Bookman Old Style"/>
          <w:sz w:val="24"/>
          <w:szCs w:val="24"/>
        </w:rPr>
        <w:t xml:space="preserve">Sinar Grafika, Jakarta. Hazewinkel-Suringa,Mr.D, 1953, </w:t>
      </w:r>
      <w:r>
        <w:rPr>
          <w:rFonts w:ascii="Bookman Old Style" w:hAnsi="Bookman Old Style"/>
          <w:i/>
          <w:sz w:val="24"/>
          <w:szCs w:val="24"/>
        </w:rPr>
        <w:t xml:space="preserve"> Inleiding Tot De Studie van het Nederlandse Strafrecht. </w:t>
      </w:r>
      <w:r>
        <w:rPr>
          <w:rFonts w:ascii="Bookman Old Style" w:hAnsi="Bookman Old Style"/>
          <w:sz w:val="24"/>
          <w:szCs w:val="24"/>
        </w:rPr>
        <w:t>Bewerkt door Mr.J Remmelink. Zesde druk. H.D. Tjeenk Willink BV. Groningen 1973.</w:t>
      </w:r>
    </w:p>
    <w:p w:rsidR="006668DF" w:rsidRDefault="006668DF" w:rsidP="006668DF">
      <w:pPr>
        <w:spacing w:after="0"/>
        <w:ind w:left="709" w:hanging="709"/>
        <w:jc w:val="both"/>
        <w:rPr>
          <w:rFonts w:ascii="Bookman Old Style" w:hAnsi="Bookman Old Style"/>
          <w:sz w:val="24"/>
          <w:szCs w:val="24"/>
        </w:rPr>
      </w:pPr>
    </w:p>
    <w:p w:rsidR="00F72147" w:rsidRDefault="00F72147" w:rsidP="00F72147">
      <w:pPr>
        <w:spacing w:after="0"/>
        <w:ind w:left="709" w:hanging="709"/>
        <w:jc w:val="both"/>
        <w:rPr>
          <w:rFonts w:ascii="Bookman Old Style" w:hAnsi="Bookman Old Style"/>
          <w:sz w:val="24"/>
          <w:szCs w:val="24"/>
        </w:rPr>
      </w:pPr>
      <w:r w:rsidRPr="00F72147">
        <w:rPr>
          <w:rFonts w:ascii="Bookman Old Style" w:hAnsi="Bookman Old Style"/>
          <w:sz w:val="24"/>
          <w:szCs w:val="24"/>
        </w:rPr>
        <w:t>Damanhuri Fattah, “Teori Keadilan Menurut John Rawls”, Jurnal TAPIs, Vol.9 No.2</w:t>
      </w:r>
      <w:r>
        <w:rPr>
          <w:rFonts w:ascii="Bookman Old Style" w:hAnsi="Bookman Old Style"/>
          <w:sz w:val="24"/>
          <w:szCs w:val="24"/>
        </w:rPr>
        <w:t xml:space="preserve"> </w:t>
      </w:r>
      <w:r w:rsidRPr="00F72147">
        <w:rPr>
          <w:rFonts w:ascii="Bookman Old Style" w:hAnsi="Bookman Old Style"/>
          <w:sz w:val="24"/>
          <w:szCs w:val="24"/>
        </w:rPr>
        <w:t>Juli-Desember 2013,</w:t>
      </w:r>
    </w:p>
    <w:p w:rsidR="00F72147" w:rsidRPr="00FE659E" w:rsidRDefault="00F72147" w:rsidP="006668DF">
      <w:pPr>
        <w:spacing w:after="0"/>
        <w:ind w:left="709" w:hanging="709"/>
        <w:jc w:val="both"/>
        <w:rPr>
          <w:rFonts w:ascii="Bookman Old Style" w:hAnsi="Bookman Old Style"/>
          <w:sz w:val="24"/>
          <w:szCs w:val="24"/>
        </w:rPr>
      </w:pPr>
    </w:p>
    <w:p w:rsidR="006668DF" w:rsidRDefault="0063475D" w:rsidP="006668DF">
      <w:pPr>
        <w:spacing w:after="0"/>
        <w:ind w:left="709" w:hanging="709"/>
        <w:jc w:val="both"/>
        <w:rPr>
          <w:rFonts w:ascii="Bookman Old Style" w:hAnsi="Bookman Old Style"/>
          <w:sz w:val="24"/>
          <w:szCs w:val="24"/>
        </w:rPr>
      </w:pPr>
      <w:hyperlink r:id="rId10" w:history="1">
        <w:r w:rsidRPr="00B50770">
          <w:rPr>
            <w:rStyle w:val="Hyperlink"/>
            <w:rFonts w:ascii="Bookman Old Style" w:hAnsi="Bookman Old Style"/>
            <w:sz w:val="24"/>
            <w:szCs w:val="24"/>
          </w:rPr>
          <w:t>http://icjr.or.id/data/wp-content/uploads/2016/12/TINDAK-PIDANA-PENGHINAAN-Pemerintah.pdf</w:t>
        </w:r>
      </w:hyperlink>
      <w:r>
        <w:rPr>
          <w:rFonts w:ascii="Bookman Old Style" w:hAnsi="Bookman Old Style"/>
          <w:sz w:val="24"/>
          <w:szCs w:val="24"/>
        </w:rPr>
        <w:t xml:space="preserve"> diakses 14 Februari 2019</w:t>
      </w:r>
    </w:p>
    <w:p w:rsidR="001231E8" w:rsidRDefault="001231E8" w:rsidP="006668DF">
      <w:pPr>
        <w:spacing w:after="0"/>
        <w:ind w:left="709" w:hanging="709"/>
        <w:jc w:val="both"/>
        <w:rPr>
          <w:rFonts w:ascii="Bookman Old Style" w:hAnsi="Bookman Old Style"/>
          <w:sz w:val="24"/>
          <w:szCs w:val="24"/>
        </w:rPr>
      </w:pPr>
    </w:p>
    <w:sectPr w:rsidR="001231E8" w:rsidSect="00A2674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4E8" w:rsidRDefault="00CB74E8" w:rsidP="00BE227A">
      <w:pPr>
        <w:spacing w:after="0" w:line="240" w:lineRule="auto"/>
      </w:pPr>
      <w:r>
        <w:separator/>
      </w:r>
    </w:p>
  </w:endnote>
  <w:endnote w:type="continuationSeparator" w:id="1">
    <w:p w:rsidR="00CB74E8" w:rsidRDefault="00CB74E8" w:rsidP="00BE2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4E8" w:rsidRDefault="00CB74E8" w:rsidP="00BE227A">
      <w:pPr>
        <w:spacing w:after="0" w:line="240" w:lineRule="auto"/>
      </w:pPr>
      <w:r>
        <w:separator/>
      </w:r>
    </w:p>
  </w:footnote>
  <w:footnote w:type="continuationSeparator" w:id="1">
    <w:p w:rsidR="00CB74E8" w:rsidRDefault="00CB74E8" w:rsidP="00BE227A">
      <w:pPr>
        <w:spacing w:after="0" w:line="240" w:lineRule="auto"/>
      </w:pPr>
      <w:r>
        <w:continuationSeparator/>
      </w:r>
    </w:p>
  </w:footnote>
  <w:footnote w:id="2">
    <w:p w:rsidR="00BE227A" w:rsidRPr="00EA35B6" w:rsidRDefault="00BE227A" w:rsidP="00EA35B6">
      <w:pPr>
        <w:pStyle w:val="FootnoteText"/>
        <w:jc w:val="both"/>
        <w:rPr>
          <w:rFonts w:ascii="Bookman Old Style" w:hAnsi="Bookman Old Style"/>
        </w:rPr>
      </w:pPr>
      <w:r w:rsidRPr="00EA35B6">
        <w:rPr>
          <w:rStyle w:val="FootnoteReference"/>
          <w:rFonts w:ascii="Bookman Old Style" w:hAnsi="Bookman Old Style"/>
        </w:rPr>
        <w:footnoteRef/>
      </w:r>
      <w:r w:rsidRPr="00EA35B6">
        <w:rPr>
          <w:rFonts w:ascii="Bookman Old Style" w:hAnsi="Bookman Old Style"/>
        </w:rPr>
        <w:t xml:space="preserve"> Dosen Program Studi Ilmu Hukum Fakultas Hukum Universitas Tadulako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D89"/>
    <w:multiLevelType w:val="hybridMultilevel"/>
    <w:tmpl w:val="2C7CD744"/>
    <w:lvl w:ilvl="0" w:tplc="4A0C239E">
      <w:start w:val="1"/>
      <w:numFmt w:val="decimal"/>
      <w:lvlText w:val="%1."/>
      <w:lvlJc w:val="left"/>
      <w:pPr>
        <w:ind w:left="1740" w:hanging="1020"/>
      </w:pPr>
      <w:rPr>
        <w:rFonts w:hint="default"/>
      </w:rPr>
    </w:lvl>
    <w:lvl w:ilvl="1" w:tplc="06B48EF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302EC6"/>
    <w:multiLevelType w:val="hybridMultilevel"/>
    <w:tmpl w:val="CB04E7FA"/>
    <w:lvl w:ilvl="0" w:tplc="6248DEB4">
      <w:start w:val="1"/>
      <w:numFmt w:val="decimal"/>
      <w:lvlText w:val="2. %1."/>
      <w:lvlJc w:val="left"/>
      <w:pPr>
        <w:ind w:left="720" w:hanging="360"/>
      </w:pPr>
      <w:rPr>
        <w:rFonts w:hint="default"/>
      </w:rPr>
    </w:lvl>
    <w:lvl w:ilvl="1" w:tplc="6248DEB4">
      <w:start w:val="1"/>
      <w:numFmt w:val="decimal"/>
      <w:lvlText w:val="2. %2."/>
      <w:lvlJc w:val="left"/>
      <w:pPr>
        <w:ind w:left="1440" w:hanging="360"/>
      </w:pPr>
      <w:rPr>
        <w:rFonts w:hint="default"/>
      </w:rPr>
    </w:lvl>
    <w:lvl w:ilvl="2" w:tplc="F23C8E3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1430EE"/>
    <w:multiLevelType w:val="hybridMultilevel"/>
    <w:tmpl w:val="3014F306"/>
    <w:lvl w:ilvl="0" w:tplc="EF807FB8">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2D8565F"/>
    <w:multiLevelType w:val="hybridMultilevel"/>
    <w:tmpl w:val="A2B8E9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270612"/>
    <w:multiLevelType w:val="hybridMultilevel"/>
    <w:tmpl w:val="F1C6EEC8"/>
    <w:lvl w:ilvl="0" w:tplc="2802431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BA5E2A"/>
    <w:multiLevelType w:val="hybridMultilevel"/>
    <w:tmpl w:val="685ADD6E"/>
    <w:lvl w:ilvl="0" w:tplc="04210011">
      <w:start w:val="1"/>
      <w:numFmt w:val="decimal"/>
      <w:lvlText w:val="%1)"/>
      <w:lvlJc w:val="left"/>
      <w:pPr>
        <w:ind w:left="3488" w:hanging="360"/>
      </w:pPr>
    </w:lvl>
    <w:lvl w:ilvl="1" w:tplc="04210019" w:tentative="1">
      <w:start w:val="1"/>
      <w:numFmt w:val="lowerLetter"/>
      <w:lvlText w:val="%2."/>
      <w:lvlJc w:val="left"/>
      <w:pPr>
        <w:ind w:left="4208" w:hanging="360"/>
      </w:pPr>
    </w:lvl>
    <w:lvl w:ilvl="2" w:tplc="0421001B" w:tentative="1">
      <w:start w:val="1"/>
      <w:numFmt w:val="lowerRoman"/>
      <w:lvlText w:val="%3."/>
      <w:lvlJc w:val="right"/>
      <w:pPr>
        <w:ind w:left="4928" w:hanging="180"/>
      </w:pPr>
    </w:lvl>
    <w:lvl w:ilvl="3" w:tplc="0421000F" w:tentative="1">
      <w:start w:val="1"/>
      <w:numFmt w:val="decimal"/>
      <w:lvlText w:val="%4."/>
      <w:lvlJc w:val="left"/>
      <w:pPr>
        <w:ind w:left="5648" w:hanging="360"/>
      </w:pPr>
    </w:lvl>
    <w:lvl w:ilvl="4" w:tplc="04210019" w:tentative="1">
      <w:start w:val="1"/>
      <w:numFmt w:val="lowerLetter"/>
      <w:lvlText w:val="%5."/>
      <w:lvlJc w:val="left"/>
      <w:pPr>
        <w:ind w:left="6368" w:hanging="360"/>
      </w:pPr>
    </w:lvl>
    <w:lvl w:ilvl="5" w:tplc="0421001B" w:tentative="1">
      <w:start w:val="1"/>
      <w:numFmt w:val="lowerRoman"/>
      <w:lvlText w:val="%6."/>
      <w:lvlJc w:val="right"/>
      <w:pPr>
        <w:ind w:left="7088" w:hanging="180"/>
      </w:pPr>
    </w:lvl>
    <w:lvl w:ilvl="6" w:tplc="0421000F" w:tentative="1">
      <w:start w:val="1"/>
      <w:numFmt w:val="decimal"/>
      <w:lvlText w:val="%7."/>
      <w:lvlJc w:val="left"/>
      <w:pPr>
        <w:ind w:left="7808" w:hanging="360"/>
      </w:pPr>
    </w:lvl>
    <w:lvl w:ilvl="7" w:tplc="04210019" w:tentative="1">
      <w:start w:val="1"/>
      <w:numFmt w:val="lowerLetter"/>
      <w:lvlText w:val="%8."/>
      <w:lvlJc w:val="left"/>
      <w:pPr>
        <w:ind w:left="8528" w:hanging="360"/>
      </w:pPr>
    </w:lvl>
    <w:lvl w:ilvl="8" w:tplc="0421001B" w:tentative="1">
      <w:start w:val="1"/>
      <w:numFmt w:val="lowerRoman"/>
      <w:lvlText w:val="%9."/>
      <w:lvlJc w:val="right"/>
      <w:pPr>
        <w:ind w:left="9248" w:hanging="180"/>
      </w:pPr>
    </w:lvl>
  </w:abstractNum>
  <w:abstractNum w:abstractNumId="6">
    <w:nsid w:val="6E4A4C43"/>
    <w:multiLevelType w:val="hybridMultilevel"/>
    <w:tmpl w:val="B97A10F4"/>
    <w:lvl w:ilvl="0" w:tplc="0421000F">
      <w:start w:val="1"/>
      <w:numFmt w:val="decimal"/>
      <w:lvlText w:val="%1."/>
      <w:lvlJc w:val="left"/>
      <w:pPr>
        <w:ind w:left="1868" w:hanging="360"/>
      </w:pPr>
    </w:lvl>
    <w:lvl w:ilvl="1" w:tplc="04210019" w:tentative="1">
      <w:start w:val="1"/>
      <w:numFmt w:val="lowerLetter"/>
      <w:lvlText w:val="%2."/>
      <w:lvlJc w:val="left"/>
      <w:pPr>
        <w:ind w:left="2588" w:hanging="360"/>
      </w:pPr>
    </w:lvl>
    <w:lvl w:ilvl="2" w:tplc="04210011">
      <w:start w:val="1"/>
      <w:numFmt w:val="decimal"/>
      <w:lvlText w:val="%3)"/>
      <w:lvlJc w:val="left"/>
      <w:pPr>
        <w:ind w:left="3308" w:hanging="180"/>
      </w:pPr>
      <w:rPr>
        <w:rFonts w:hint="default"/>
      </w:rPr>
    </w:lvl>
    <w:lvl w:ilvl="3" w:tplc="0421000F" w:tentative="1">
      <w:start w:val="1"/>
      <w:numFmt w:val="decimal"/>
      <w:lvlText w:val="%4."/>
      <w:lvlJc w:val="left"/>
      <w:pPr>
        <w:ind w:left="4028" w:hanging="360"/>
      </w:pPr>
    </w:lvl>
    <w:lvl w:ilvl="4" w:tplc="04210019" w:tentative="1">
      <w:start w:val="1"/>
      <w:numFmt w:val="lowerLetter"/>
      <w:lvlText w:val="%5."/>
      <w:lvlJc w:val="left"/>
      <w:pPr>
        <w:ind w:left="4748" w:hanging="360"/>
      </w:pPr>
    </w:lvl>
    <w:lvl w:ilvl="5" w:tplc="0421001B" w:tentative="1">
      <w:start w:val="1"/>
      <w:numFmt w:val="lowerRoman"/>
      <w:lvlText w:val="%6."/>
      <w:lvlJc w:val="right"/>
      <w:pPr>
        <w:ind w:left="5468" w:hanging="180"/>
      </w:pPr>
    </w:lvl>
    <w:lvl w:ilvl="6" w:tplc="0421000F" w:tentative="1">
      <w:start w:val="1"/>
      <w:numFmt w:val="decimal"/>
      <w:lvlText w:val="%7."/>
      <w:lvlJc w:val="left"/>
      <w:pPr>
        <w:ind w:left="6188" w:hanging="360"/>
      </w:pPr>
    </w:lvl>
    <w:lvl w:ilvl="7" w:tplc="04210019" w:tentative="1">
      <w:start w:val="1"/>
      <w:numFmt w:val="lowerLetter"/>
      <w:lvlText w:val="%8."/>
      <w:lvlJc w:val="left"/>
      <w:pPr>
        <w:ind w:left="6908" w:hanging="360"/>
      </w:pPr>
    </w:lvl>
    <w:lvl w:ilvl="8" w:tplc="0421001B" w:tentative="1">
      <w:start w:val="1"/>
      <w:numFmt w:val="lowerRoman"/>
      <w:lvlText w:val="%9."/>
      <w:lvlJc w:val="right"/>
      <w:pPr>
        <w:ind w:left="7628" w:hanging="180"/>
      </w:p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savePreviewPicture/>
  <w:footnotePr>
    <w:footnote w:id="0"/>
    <w:footnote w:id="1"/>
  </w:footnotePr>
  <w:endnotePr>
    <w:endnote w:id="0"/>
    <w:endnote w:id="1"/>
  </w:endnotePr>
  <w:compat>
    <w:useFELayout/>
  </w:compat>
  <w:rsids>
    <w:rsidRoot w:val="00BE227A"/>
    <w:rsid w:val="00014F61"/>
    <w:rsid w:val="0002077D"/>
    <w:rsid w:val="00050AEF"/>
    <w:rsid w:val="00066297"/>
    <w:rsid w:val="000A33B7"/>
    <w:rsid w:val="000B0EA6"/>
    <w:rsid w:val="000C0CBC"/>
    <w:rsid w:val="000C371A"/>
    <w:rsid w:val="000D6E78"/>
    <w:rsid w:val="000E1D18"/>
    <w:rsid w:val="000F63D7"/>
    <w:rsid w:val="00105FDE"/>
    <w:rsid w:val="00106E42"/>
    <w:rsid w:val="00107E59"/>
    <w:rsid w:val="00120260"/>
    <w:rsid w:val="001231E8"/>
    <w:rsid w:val="00130993"/>
    <w:rsid w:val="00141715"/>
    <w:rsid w:val="001530B5"/>
    <w:rsid w:val="00174BAE"/>
    <w:rsid w:val="00190B1D"/>
    <w:rsid w:val="001B0891"/>
    <w:rsid w:val="001B0AC9"/>
    <w:rsid w:val="001C5455"/>
    <w:rsid w:val="001D2D9D"/>
    <w:rsid w:val="001E5A12"/>
    <w:rsid w:val="00223891"/>
    <w:rsid w:val="00226EE6"/>
    <w:rsid w:val="00233D80"/>
    <w:rsid w:val="002A55A2"/>
    <w:rsid w:val="002B76F1"/>
    <w:rsid w:val="002D4DB2"/>
    <w:rsid w:val="002D7419"/>
    <w:rsid w:val="00350F4C"/>
    <w:rsid w:val="00353D6C"/>
    <w:rsid w:val="00381110"/>
    <w:rsid w:val="003B4788"/>
    <w:rsid w:val="003E237A"/>
    <w:rsid w:val="003F0711"/>
    <w:rsid w:val="00404676"/>
    <w:rsid w:val="0041680A"/>
    <w:rsid w:val="0045000D"/>
    <w:rsid w:val="00465CFE"/>
    <w:rsid w:val="004A26BC"/>
    <w:rsid w:val="004A4400"/>
    <w:rsid w:val="004B1C63"/>
    <w:rsid w:val="004B5F7E"/>
    <w:rsid w:val="004C6EC2"/>
    <w:rsid w:val="004D5B2E"/>
    <w:rsid w:val="004D6A91"/>
    <w:rsid w:val="004D7C40"/>
    <w:rsid w:val="004F2760"/>
    <w:rsid w:val="00503F55"/>
    <w:rsid w:val="005154D3"/>
    <w:rsid w:val="00543929"/>
    <w:rsid w:val="005543AA"/>
    <w:rsid w:val="00555B76"/>
    <w:rsid w:val="00567E27"/>
    <w:rsid w:val="0059530F"/>
    <w:rsid w:val="005E7588"/>
    <w:rsid w:val="00616C84"/>
    <w:rsid w:val="006238FF"/>
    <w:rsid w:val="0063475D"/>
    <w:rsid w:val="0066165D"/>
    <w:rsid w:val="006668DF"/>
    <w:rsid w:val="006761E8"/>
    <w:rsid w:val="006844F9"/>
    <w:rsid w:val="006C078E"/>
    <w:rsid w:val="006C5730"/>
    <w:rsid w:val="006D21EF"/>
    <w:rsid w:val="006E3F20"/>
    <w:rsid w:val="006F6B86"/>
    <w:rsid w:val="006F721F"/>
    <w:rsid w:val="00714427"/>
    <w:rsid w:val="00714FDC"/>
    <w:rsid w:val="00744384"/>
    <w:rsid w:val="00757A52"/>
    <w:rsid w:val="007642FB"/>
    <w:rsid w:val="00765D0E"/>
    <w:rsid w:val="00770E55"/>
    <w:rsid w:val="007A18D1"/>
    <w:rsid w:val="007C6AA3"/>
    <w:rsid w:val="007F6BEA"/>
    <w:rsid w:val="00812AB1"/>
    <w:rsid w:val="00830268"/>
    <w:rsid w:val="00861C2B"/>
    <w:rsid w:val="00861D9E"/>
    <w:rsid w:val="00862879"/>
    <w:rsid w:val="00864DF8"/>
    <w:rsid w:val="00912FD2"/>
    <w:rsid w:val="00967016"/>
    <w:rsid w:val="0098433A"/>
    <w:rsid w:val="00991419"/>
    <w:rsid w:val="00991C13"/>
    <w:rsid w:val="00995C84"/>
    <w:rsid w:val="009B2FDF"/>
    <w:rsid w:val="009D63D9"/>
    <w:rsid w:val="009F0282"/>
    <w:rsid w:val="009F7B8E"/>
    <w:rsid w:val="00A235B9"/>
    <w:rsid w:val="00A26741"/>
    <w:rsid w:val="00A31042"/>
    <w:rsid w:val="00A34E88"/>
    <w:rsid w:val="00A37EA7"/>
    <w:rsid w:val="00A56401"/>
    <w:rsid w:val="00A610FD"/>
    <w:rsid w:val="00A85A42"/>
    <w:rsid w:val="00AC459C"/>
    <w:rsid w:val="00AF4473"/>
    <w:rsid w:val="00AF4EE6"/>
    <w:rsid w:val="00B10B17"/>
    <w:rsid w:val="00B213A0"/>
    <w:rsid w:val="00B57D56"/>
    <w:rsid w:val="00B828E0"/>
    <w:rsid w:val="00BA103E"/>
    <w:rsid w:val="00BC069C"/>
    <w:rsid w:val="00BE227A"/>
    <w:rsid w:val="00BF2B3D"/>
    <w:rsid w:val="00BF3402"/>
    <w:rsid w:val="00BF5A48"/>
    <w:rsid w:val="00C133D3"/>
    <w:rsid w:val="00C22764"/>
    <w:rsid w:val="00C26D37"/>
    <w:rsid w:val="00C4387D"/>
    <w:rsid w:val="00C62A5C"/>
    <w:rsid w:val="00C649FB"/>
    <w:rsid w:val="00C9486D"/>
    <w:rsid w:val="00C97A86"/>
    <w:rsid w:val="00CA0017"/>
    <w:rsid w:val="00CB74E8"/>
    <w:rsid w:val="00CC64DB"/>
    <w:rsid w:val="00CD2EEA"/>
    <w:rsid w:val="00CE3F88"/>
    <w:rsid w:val="00CF308A"/>
    <w:rsid w:val="00CF4173"/>
    <w:rsid w:val="00D03AC1"/>
    <w:rsid w:val="00D137D2"/>
    <w:rsid w:val="00D15AD1"/>
    <w:rsid w:val="00D23E78"/>
    <w:rsid w:val="00D4496A"/>
    <w:rsid w:val="00D6011F"/>
    <w:rsid w:val="00D60E34"/>
    <w:rsid w:val="00D653FB"/>
    <w:rsid w:val="00D80461"/>
    <w:rsid w:val="00DB355C"/>
    <w:rsid w:val="00DB608D"/>
    <w:rsid w:val="00DC714B"/>
    <w:rsid w:val="00DD46D1"/>
    <w:rsid w:val="00DE34EB"/>
    <w:rsid w:val="00DF55CF"/>
    <w:rsid w:val="00DF61E9"/>
    <w:rsid w:val="00E02AEE"/>
    <w:rsid w:val="00E167B7"/>
    <w:rsid w:val="00E463CF"/>
    <w:rsid w:val="00E570A0"/>
    <w:rsid w:val="00E83860"/>
    <w:rsid w:val="00E90C2E"/>
    <w:rsid w:val="00E9381B"/>
    <w:rsid w:val="00EA35B6"/>
    <w:rsid w:val="00EB49FD"/>
    <w:rsid w:val="00EC2BD9"/>
    <w:rsid w:val="00EC5563"/>
    <w:rsid w:val="00EC7EF6"/>
    <w:rsid w:val="00EE7A49"/>
    <w:rsid w:val="00F01378"/>
    <w:rsid w:val="00F14F07"/>
    <w:rsid w:val="00F208BE"/>
    <w:rsid w:val="00F356BE"/>
    <w:rsid w:val="00F4035C"/>
    <w:rsid w:val="00F607CE"/>
    <w:rsid w:val="00F61AEF"/>
    <w:rsid w:val="00F62E7F"/>
    <w:rsid w:val="00F6777A"/>
    <w:rsid w:val="00F72147"/>
    <w:rsid w:val="00F92B96"/>
    <w:rsid w:val="00FE659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4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E227A"/>
    <w:pPr>
      <w:spacing w:after="0" w:line="240" w:lineRule="auto"/>
    </w:pPr>
    <w:rPr>
      <w:sz w:val="20"/>
      <w:szCs w:val="20"/>
    </w:rPr>
  </w:style>
  <w:style w:type="character" w:customStyle="1" w:styleId="FootnoteTextChar">
    <w:name w:val="Footnote Text Char"/>
    <w:basedOn w:val="DefaultParagraphFont"/>
    <w:link w:val="FootnoteText"/>
    <w:rsid w:val="00BE227A"/>
    <w:rPr>
      <w:sz w:val="20"/>
      <w:szCs w:val="20"/>
    </w:rPr>
  </w:style>
  <w:style w:type="character" w:styleId="FootnoteReference">
    <w:name w:val="footnote reference"/>
    <w:basedOn w:val="DefaultParagraphFont"/>
    <w:semiHidden/>
    <w:unhideWhenUsed/>
    <w:rsid w:val="00BE227A"/>
    <w:rPr>
      <w:vertAlign w:val="superscript"/>
    </w:rPr>
  </w:style>
  <w:style w:type="character" w:styleId="Hyperlink">
    <w:name w:val="Hyperlink"/>
    <w:basedOn w:val="DefaultParagraphFont"/>
    <w:uiPriority w:val="99"/>
    <w:unhideWhenUsed/>
    <w:rsid w:val="00BE227A"/>
    <w:rPr>
      <w:color w:val="0000FF" w:themeColor="hyperlink"/>
      <w:u w:val="single"/>
    </w:rPr>
  </w:style>
  <w:style w:type="paragraph" w:styleId="ListParagraph">
    <w:name w:val="List Paragraph"/>
    <w:basedOn w:val="Normal"/>
    <w:uiPriority w:val="34"/>
    <w:qFormat/>
    <w:rsid w:val="00C97A86"/>
    <w:pPr>
      <w:ind w:left="720"/>
      <w:contextualSpacing/>
    </w:pPr>
  </w:style>
  <w:style w:type="paragraph" w:styleId="BodyText">
    <w:name w:val="Body Text"/>
    <w:basedOn w:val="Normal"/>
    <w:link w:val="BodyTextChar"/>
    <w:uiPriority w:val="99"/>
    <w:rsid w:val="00757A52"/>
    <w:pPr>
      <w:spacing w:after="0" w:line="240" w:lineRule="auto"/>
      <w:jc w:val="center"/>
    </w:pPr>
    <w:rPr>
      <w:rFonts w:ascii="Times New Roman" w:eastAsia="Times New Roman" w:hAnsi="Times New Roman" w:cs="Times New Roman"/>
      <w:b/>
      <w:bCs/>
      <w:sz w:val="32"/>
      <w:szCs w:val="32"/>
      <w:lang/>
    </w:rPr>
  </w:style>
  <w:style w:type="character" w:customStyle="1" w:styleId="BodyTextChar">
    <w:name w:val="Body Text Char"/>
    <w:basedOn w:val="DefaultParagraphFont"/>
    <w:link w:val="BodyText"/>
    <w:uiPriority w:val="99"/>
    <w:rsid w:val="00757A52"/>
    <w:rPr>
      <w:rFonts w:ascii="Times New Roman" w:eastAsia="Times New Roman" w:hAnsi="Times New Roman" w:cs="Times New Roman"/>
      <w:b/>
      <w:bCs/>
      <w:sz w:val="32"/>
      <w:szCs w:val="32"/>
      <w:lang/>
    </w:rPr>
  </w:style>
  <w:style w:type="table" w:styleId="TableGrid">
    <w:name w:val="Table Grid"/>
    <w:basedOn w:val="TableNormal"/>
    <w:uiPriority w:val="59"/>
    <w:rsid w:val="00BC06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4939181">
      <w:bodyDiv w:val="1"/>
      <w:marLeft w:val="0"/>
      <w:marRight w:val="0"/>
      <w:marTop w:val="0"/>
      <w:marBottom w:val="0"/>
      <w:divBdr>
        <w:top w:val="none" w:sz="0" w:space="0" w:color="auto"/>
        <w:left w:val="none" w:sz="0" w:space="0" w:color="auto"/>
        <w:bottom w:val="none" w:sz="0" w:space="0" w:color="auto"/>
        <w:right w:val="none" w:sz="0" w:space="0" w:color="auto"/>
      </w:divBdr>
    </w:div>
    <w:div w:id="1162424750">
      <w:bodyDiv w:val="1"/>
      <w:marLeft w:val="0"/>
      <w:marRight w:val="0"/>
      <w:marTop w:val="0"/>
      <w:marBottom w:val="0"/>
      <w:divBdr>
        <w:top w:val="none" w:sz="0" w:space="0" w:color="auto"/>
        <w:left w:val="none" w:sz="0" w:space="0" w:color="auto"/>
        <w:bottom w:val="none" w:sz="0" w:space="0" w:color="auto"/>
        <w:right w:val="none" w:sz="0" w:space="0" w:color="auto"/>
      </w:divBdr>
    </w:div>
    <w:div w:id="17855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i.intanpurnamasa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cjr.or.id/data/wp-content/uploads/2016/12/TINDAK-PIDANA-PENGHINAAN-Pemerintah.pdf" TargetMode="External"/><Relationship Id="rId4" Type="http://schemas.openxmlformats.org/officeDocument/2006/relationships/settings" Target="settings.xml"/><Relationship Id="rId9" Type="http://schemas.openxmlformats.org/officeDocument/2006/relationships/hyperlink" Target="http://icjr.or.id/data/wp-content/uploads/2016/12/TINDAK-PIDANA-PENGHINAAN-Pemerinta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F796-07D5-49DB-9A05-4C8A9315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14</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140</cp:revision>
  <dcterms:created xsi:type="dcterms:W3CDTF">2019-02-14T14:51:00Z</dcterms:created>
  <dcterms:modified xsi:type="dcterms:W3CDTF">2019-03-26T07:32:00Z</dcterms:modified>
</cp:coreProperties>
</file>