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7AA2" w14:textId="77777777" w:rsidR="00822877" w:rsidRDefault="001F28CD">
      <w:pPr>
        <w:pStyle w:val="Heading1"/>
        <w:spacing w:before="64"/>
        <w:ind w:left="1933" w:right="1948" w:firstLine="0"/>
        <w:jc w:val="center"/>
        <w:rPr>
          <w:lang w:val="id-ID"/>
        </w:rPr>
      </w:pPr>
      <w:r>
        <w:rPr>
          <w:noProof/>
          <w:lang w:val="id-ID" w:eastAsia="id-ID"/>
        </w:rPr>
        <mc:AlternateContent>
          <mc:Choice Requires="wps">
            <w:drawing>
              <wp:anchor distT="0" distB="0" distL="114300" distR="114300" simplePos="0" relativeHeight="251659264" behindDoc="0" locked="0" layoutInCell="1" allowOverlap="1" wp14:anchorId="4BF5AFAC" wp14:editId="2B61338D">
                <wp:simplePos x="0" y="0"/>
                <wp:positionH relativeFrom="column">
                  <wp:posOffset>313055</wp:posOffset>
                </wp:positionH>
                <wp:positionV relativeFrom="paragraph">
                  <wp:posOffset>-762000</wp:posOffset>
                </wp:positionV>
                <wp:extent cx="5137150" cy="13519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7150" cy="1351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421EC" w14:textId="77777777" w:rsidR="00822877" w:rsidRPr="00702D2C" w:rsidRDefault="00822877" w:rsidP="00702D2C">
                            <w:pPr>
                              <w:jc w:val="right"/>
                              <w:rPr>
                                <w:rFonts w:ascii="Matura MT Script Capitals" w:hAnsi="Matura MT Script Capitals"/>
                                <w:sz w:val="18"/>
                                <w:szCs w:val="24"/>
                                <w:lang w:val="id-ID"/>
                              </w:rPr>
                            </w:pPr>
                            <w:r w:rsidRPr="00702D2C">
                              <w:rPr>
                                <w:rFonts w:ascii="Matura MT Script Capitals" w:hAnsi="Matura MT Script Capitals"/>
                                <w:sz w:val="68"/>
                                <w:szCs w:val="24"/>
                                <w:lang w:val="id-ID"/>
                              </w:rPr>
                              <w:t>Insan Cita</w:t>
                            </w:r>
                          </w:p>
                          <w:p w14:paraId="3CB621B1" w14:textId="77777777" w:rsidR="00822877" w:rsidRPr="00752542" w:rsidRDefault="00822877" w:rsidP="00702D2C">
                            <w:pPr>
                              <w:ind w:left="720"/>
                              <w:jc w:val="right"/>
                              <w:rPr>
                                <w:rFonts w:ascii="Lucida Fax" w:hAnsi="Lucida Fax"/>
                                <w:b/>
                                <w:i/>
                                <w:sz w:val="30"/>
                                <w:szCs w:val="24"/>
                                <w:lang w:val="id-ID"/>
                              </w:rPr>
                            </w:pPr>
                            <w:r w:rsidRPr="00752542">
                              <w:rPr>
                                <w:rFonts w:ascii="Lucida Fax" w:hAnsi="Lucida Fax"/>
                                <w:b/>
                                <w:i/>
                                <w:sz w:val="20"/>
                                <w:szCs w:val="24"/>
                                <w:lang w:val="id-ID"/>
                              </w:rPr>
                              <w:t>Jurnal Pengabdian Kepada Masyarakat</w:t>
                            </w:r>
                            <w:r w:rsidR="00702D2C" w:rsidRPr="00752542">
                              <w:rPr>
                                <w:rFonts w:ascii="Lucida Fax" w:hAnsi="Lucida Fax"/>
                                <w:b/>
                                <w:i/>
                                <w:sz w:val="20"/>
                                <w:szCs w:val="24"/>
                                <w:lang w:val="id-ID"/>
                              </w:rPr>
                              <w:t xml:space="preserve"> Universitas Gorontalo</w:t>
                            </w:r>
                          </w:p>
                          <w:p w14:paraId="32375DAA" w14:textId="77777777" w:rsidR="00822877" w:rsidRPr="00702D2C" w:rsidRDefault="00822877" w:rsidP="00702D2C">
                            <w:pPr>
                              <w:jc w:val="right"/>
                              <w:rPr>
                                <w:rFonts w:ascii="Modern No. 20" w:hAnsi="Modern No. 20"/>
                                <w:b/>
                                <w:color w:val="C00000"/>
                                <w:sz w:val="26"/>
                                <w:lang w:val="id-ID"/>
                              </w:rPr>
                            </w:pPr>
                            <w:r w:rsidRPr="00702D2C">
                              <w:rPr>
                                <w:rFonts w:ascii="Modern No. 20" w:hAnsi="Modern No. 20"/>
                                <w:b/>
                                <w:color w:val="C00000"/>
                                <w:sz w:val="26"/>
                              </w:rPr>
                              <w:t xml:space="preserve">Volume </w:t>
                            </w:r>
                            <w:r w:rsidRPr="00702D2C">
                              <w:rPr>
                                <w:rFonts w:ascii="Modern No. 20" w:hAnsi="Modern No. 20"/>
                                <w:b/>
                                <w:color w:val="C00000"/>
                                <w:sz w:val="26"/>
                                <w:lang w:val="id-ID"/>
                              </w:rPr>
                              <w:t>1</w:t>
                            </w:r>
                            <w:r w:rsidRPr="00702D2C">
                              <w:rPr>
                                <w:rFonts w:ascii="Modern No. 20" w:hAnsi="Modern No. 20"/>
                                <w:b/>
                                <w:color w:val="C00000"/>
                                <w:sz w:val="26"/>
                              </w:rPr>
                              <w:t xml:space="preserve"> -  NO. </w:t>
                            </w:r>
                            <w:r w:rsidRPr="00702D2C">
                              <w:rPr>
                                <w:rFonts w:ascii="Modern No. 20" w:hAnsi="Modern No. 20"/>
                                <w:b/>
                                <w:color w:val="C00000"/>
                                <w:sz w:val="26"/>
                                <w:lang w:val="id-ID"/>
                              </w:rPr>
                              <w:t>1</w:t>
                            </w:r>
                            <w:r w:rsidRPr="00702D2C">
                              <w:rPr>
                                <w:rFonts w:ascii="Modern No. 20" w:hAnsi="Modern No. 20"/>
                                <w:b/>
                                <w:color w:val="C00000"/>
                                <w:sz w:val="26"/>
                              </w:rPr>
                              <w:t xml:space="preserve"> – </w:t>
                            </w:r>
                            <w:r w:rsidRPr="00702D2C">
                              <w:rPr>
                                <w:rFonts w:ascii="Modern No. 20" w:hAnsi="Modern No. 20"/>
                                <w:b/>
                                <w:color w:val="C00000"/>
                                <w:sz w:val="26"/>
                                <w:lang w:val="id-ID"/>
                              </w:rPr>
                              <w:t>Februari 2019</w:t>
                            </w:r>
                          </w:p>
                          <w:p w14:paraId="11111ED9" w14:textId="77777777" w:rsidR="00822877" w:rsidRPr="00702D2C" w:rsidRDefault="00822877" w:rsidP="00702D2C">
                            <w:pPr>
                              <w:jc w:val="right"/>
                              <w:rPr>
                                <w:rFonts w:ascii="Roboto" w:hAnsi="Roboto"/>
                                <w:color w:val="C00000"/>
                              </w:rPr>
                            </w:pPr>
                            <w:r w:rsidRPr="00702D2C">
                              <w:rPr>
                                <w:rFonts w:ascii="Roboto" w:hAnsi="Roboto"/>
                                <w:color w:val="C00000"/>
                              </w:rPr>
                              <w:t xml:space="preserve">P-ISSN: 2656-3584  </w:t>
                            </w:r>
                            <w:r w:rsidRPr="00702D2C">
                              <w:rPr>
                                <w:rFonts w:ascii="Roboto" w:hAnsi="Roboto"/>
                                <w:color w:val="C00000"/>
                                <w:lang w:val="id-ID"/>
                              </w:rPr>
                              <w:t xml:space="preserve"> </w:t>
                            </w:r>
                            <w:r w:rsidRPr="00702D2C">
                              <w:rPr>
                                <w:rFonts w:ascii="Roboto" w:hAnsi="Roboto"/>
                                <w:color w:val="C00000"/>
                              </w:rPr>
                              <w:t>E-ISSN: 2656-4769</w:t>
                            </w:r>
                          </w:p>
                          <w:p w14:paraId="58D9275F" w14:textId="77777777" w:rsidR="00822877" w:rsidRDefault="00822877" w:rsidP="00702D2C">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F5AFAC" id="_x0000_t202" coordsize="21600,21600" o:spt="202" path="m,l,21600r21600,l21600,xe">
                <v:stroke joinstyle="miter"/>
                <v:path gradientshapeok="t" o:connecttype="rect"/>
              </v:shapetype>
              <v:shape id="Text Box 2" o:spid="_x0000_s1026" type="#_x0000_t202" style="position:absolute;left:0;text-align:left;margin-left:24.65pt;margin-top:-60pt;width:404.5pt;height:1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" stroked="f">
                <v:textbox>
                  <w:txbxContent>
                    <w:p w14:paraId="1DA421EC" w14:textId="77777777" w:rsidR="00822877" w:rsidRPr="00702D2C" w:rsidRDefault="00822877" w:rsidP="00702D2C">
                      <w:pPr>
                        <w:jc w:val="right"/>
                        <w:rPr>
                          <w:rFonts w:ascii="Matura MT Script Capitals" w:hAnsi="Matura MT Script Capitals"/>
                          <w:sz w:val="18"/>
                          <w:szCs w:val="24"/>
                          <w:lang w:val="id-ID"/>
                        </w:rPr>
                      </w:pPr>
                      <w:r w:rsidRPr="00702D2C">
                        <w:rPr>
                          <w:rFonts w:ascii="Matura MT Script Capitals" w:hAnsi="Matura MT Script Capitals"/>
                          <w:sz w:val="68"/>
                          <w:szCs w:val="24"/>
                          <w:lang w:val="id-ID"/>
                        </w:rPr>
                        <w:t>Insan Cita</w:t>
                      </w:r>
                    </w:p>
                    <w:p w14:paraId="3CB621B1" w14:textId="77777777" w:rsidR="00822877" w:rsidRPr="00752542" w:rsidRDefault="00822877" w:rsidP="00702D2C">
                      <w:pPr>
                        <w:ind w:left="720"/>
                        <w:jc w:val="right"/>
                        <w:rPr>
                          <w:rFonts w:ascii="Lucida Fax" w:hAnsi="Lucida Fax"/>
                          <w:b/>
                          <w:i/>
                          <w:sz w:val="30"/>
                          <w:szCs w:val="24"/>
                          <w:lang w:val="id-ID"/>
                        </w:rPr>
                      </w:pPr>
                      <w:r w:rsidRPr="00752542">
                        <w:rPr>
                          <w:rFonts w:ascii="Lucida Fax" w:hAnsi="Lucida Fax"/>
                          <w:b/>
                          <w:i/>
                          <w:sz w:val="20"/>
                          <w:szCs w:val="24"/>
                          <w:lang w:val="id-ID"/>
                        </w:rPr>
                        <w:t>Jurnal Pengabdian Kepada Masyarakat</w:t>
                      </w:r>
                      <w:r w:rsidR="00702D2C" w:rsidRPr="00752542">
                        <w:rPr>
                          <w:rFonts w:ascii="Lucida Fax" w:hAnsi="Lucida Fax"/>
                          <w:b/>
                          <w:i/>
                          <w:sz w:val="20"/>
                          <w:szCs w:val="24"/>
                          <w:lang w:val="id-ID"/>
                        </w:rPr>
                        <w:t xml:space="preserve"> Universitas Gorontalo</w:t>
                      </w:r>
                    </w:p>
                    <w:p w14:paraId="32375DAA" w14:textId="77777777" w:rsidR="00822877" w:rsidRPr="00702D2C" w:rsidRDefault="00822877" w:rsidP="00702D2C">
                      <w:pPr>
                        <w:jc w:val="right"/>
                        <w:rPr>
                          <w:rFonts w:ascii="Modern No. 20" w:hAnsi="Modern No. 20"/>
                          <w:b/>
                          <w:color w:val="C00000"/>
                          <w:sz w:val="26"/>
                          <w:lang w:val="id-ID"/>
                        </w:rPr>
                      </w:pPr>
                      <w:r w:rsidRPr="00702D2C">
                        <w:rPr>
                          <w:rFonts w:ascii="Modern No. 20" w:hAnsi="Modern No. 20"/>
                          <w:b/>
                          <w:color w:val="C00000"/>
                          <w:sz w:val="26"/>
                        </w:rPr>
                        <w:t xml:space="preserve">Volume </w:t>
                      </w:r>
                      <w:r w:rsidRPr="00702D2C">
                        <w:rPr>
                          <w:rFonts w:ascii="Modern No. 20" w:hAnsi="Modern No. 20"/>
                          <w:b/>
                          <w:color w:val="C00000"/>
                          <w:sz w:val="26"/>
                          <w:lang w:val="id-ID"/>
                        </w:rPr>
                        <w:t>1</w:t>
                      </w:r>
                      <w:r w:rsidRPr="00702D2C">
                        <w:rPr>
                          <w:rFonts w:ascii="Modern No. 20" w:hAnsi="Modern No. 20"/>
                          <w:b/>
                          <w:color w:val="C00000"/>
                          <w:sz w:val="26"/>
                        </w:rPr>
                        <w:t xml:space="preserve"> -  NO. </w:t>
                      </w:r>
                      <w:r w:rsidRPr="00702D2C">
                        <w:rPr>
                          <w:rFonts w:ascii="Modern No. 20" w:hAnsi="Modern No. 20"/>
                          <w:b/>
                          <w:color w:val="C00000"/>
                          <w:sz w:val="26"/>
                          <w:lang w:val="id-ID"/>
                        </w:rPr>
                        <w:t>1</w:t>
                      </w:r>
                      <w:r w:rsidRPr="00702D2C">
                        <w:rPr>
                          <w:rFonts w:ascii="Modern No. 20" w:hAnsi="Modern No. 20"/>
                          <w:b/>
                          <w:color w:val="C00000"/>
                          <w:sz w:val="26"/>
                        </w:rPr>
                        <w:t xml:space="preserve"> – </w:t>
                      </w:r>
                      <w:r w:rsidRPr="00702D2C">
                        <w:rPr>
                          <w:rFonts w:ascii="Modern No. 20" w:hAnsi="Modern No. 20"/>
                          <w:b/>
                          <w:color w:val="C00000"/>
                          <w:sz w:val="26"/>
                          <w:lang w:val="id-ID"/>
                        </w:rPr>
                        <w:t>Februari 2019</w:t>
                      </w:r>
                    </w:p>
                    <w:p w14:paraId="11111ED9" w14:textId="77777777" w:rsidR="00822877" w:rsidRPr="00702D2C" w:rsidRDefault="00822877" w:rsidP="00702D2C">
                      <w:pPr>
                        <w:jc w:val="right"/>
                        <w:rPr>
                          <w:rFonts w:ascii="Roboto" w:hAnsi="Roboto"/>
                          <w:color w:val="C00000"/>
                        </w:rPr>
                      </w:pPr>
                      <w:r w:rsidRPr="00702D2C">
                        <w:rPr>
                          <w:rFonts w:ascii="Roboto" w:hAnsi="Roboto"/>
                          <w:color w:val="C00000"/>
                        </w:rPr>
                        <w:t xml:space="preserve">P-ISSN: 2656-3584  </w:t>
                      </w:r>
                      <w:r w:rsidRPr="00702D2C">
                        <w:rPr>
                          <w:rFonts w:ascii="Roboto" w:hAnsi="Roboto"/>
                          <w:color w:val="C00000"/>
                          <w:lang w:val="id-ID"/>
                        </w:rPr>
                        <w:t xml:space="preserve"> </w:t>
                      </w:r>
                      <w:r w:rsidRPr="00702D2C">
                        <w:rPr>
                          <w:rFonts w:ascii="Roboto" w:hAnsi="Roboto"/>
                          <w:color w:val="C00000"/>
                        </w:rPr>
                        <w:t>E-ISSN: 2656-4769</w:t>
                      </w:r>
                    </w:p>
                    <w:p w14:paraId="58D9275F" w14:textId="77777777" w:rsidR="00822877" w:rsidRDefault="00822877" w:rsidP="00702D2C">
                      <w:pPr>
                        <w:jc w:val="right"/>
                      </w:pPr>
                    </w:p>
                  </w:txbxContent>
                </v:textbox>
              </v:shape>
            </w:pict>
          </mc:Fallback>
        </mc:AlternateContent>
      </w:r>
    </w:p>
    <w:p w14:paraId="04308AF9" w14:textId="77777777" w:rsidR="00822877" w:rsidRDefault="00822877">
      <w:pPr>
        <w:pStyle w:val="Heading1"/>
        <w:spacing w:before="64"/>
        <w:ind w:left="1933" w:right="1948" w:firstLine="0"/>
        <w:jc w:val="center"/>
        <w:rPr>
          <w:lang w:val="id-ID"/>
        </w:rPr>
      </w:pPr>
    </w:p>
    <w:p w14:paraId="55501812" w14:textId="77777777" w:rsidR="00822877" w:rsidRDefault="00822877">
      <w:pPr>
        <w:pStyle w:val="Heading1"/>
        <w:spacing w:before="64"/>
        <w:ind w:left="1933" w:right="1948" w:firstLine="0"/>
        <w:jc w:val="center"/>
        <w:rPr>
          <w:lang w:val="id-ID"/>
        </w:rPr>
      </w:pPr>
    </w:p>
    <w:p w14:paraId="20B100D1" w14:textId="77777777" w:rsidR="0012527E" w:rsidRPr="0012527E" w:rsidRDefault="0012527E" w:rsidP="0012527E">
      <w:pPr>
        <w:spacing w:line="360" w:lineRule="auto"/>
        <w:jc w:val="center"/>
        <w:rPr>
          <w:rFonts w:eastAsia="Bookman Old Style"/>
          <w:b/>
          <w:sz w:val="24"/>
          <w:szCs w:val="24"/>
        </w:rPr>
      </w:pPr>
      <w:r w:rsidRPr="0012527E">
        <w:rPr>
          <w:rFonts w:eastAsia="Bookman Old Style"/>
          <w:b/>
          <w:sz w:val="24"/>
          <w:szCs w:val="24"/>
        </w:rPr>
        <w:t>UPAYA PENINGKATAN KESEHATAN MASYARAKAT MELALUI EDUKASI DAN SKRINING PENYAKIT TIDAK MENULAR DI DESA MONGOLATO, KECAMATAN TELAGA</w:t>
      </w:r>
      <w:r w:rsidRPr="0012527E">
        <w:rPr>
          <w:rFonts w:eastAsia="Arial"/>
          <w:b/>
          <w:sz w:val="24"/>
          <w:szCs w:val="24"/>
        </w:rPr>
        <w:t>.</w:t>
      </w:r>
    </w:p>
    <w:p w14:paraId="5328D68F" w14:textId="4EFB973D" w:rsidR="0012527E" w:rsidRPr="0012527E" w:rsidRDefault="00C07766" w:rsidP="0012527E">
      <w:pPr>
        <w:spacing w:line="360" w:lineRule="auto"/>
        <w:jc w:val="center"/>
        <w:rPr>
          <w:rFonts w:eastAsia="Arial"/>
          <w:b/>
          <w:sz w:val="24"/>
          <w:szCs w:val="24"/>
        </w:rPr>
      </w:pPr>
      <w:r>
        <w:rPr>
          <w:rFonts w:eastAsia="Arial"/>
          <w:b/>
          <w:sz w:val="24"/>
          <w:szCs w:val="24"/>
        </w:rPr>
        <w:t xml:space="preserve">Darmayanti Waluyo SKM.,M.Kes, Rosdiana Kaharu S.Kep.NS., MM, St. Mutiatu Rahmah SKM.,M.Kes, Lilis Handayani SKM.,M.Kes, </w:t>
      </w:r>
      <w:r w:rsidR="0012527E" w:rsidRPr="0012527E">
        <w:rPr>
          <w:rFonts w:eastAsia="Arial"/>
          <w:b/>
          <w:sz w:val="24"/>
          <w:szCs w:val="24"/>
        </w:rPr>
        <w:t>Fadillah Aulia Ntobuo, Tirsa Modanggu, Sriwahyuni Beu, Inggrid Anggraini A Mohammad, Inka Noverita Tondako</w:t>
      </w:r>
    </w:p>
    <w:p w14:paraId="58E4D951" w14:textId="77777777" w:rsidR="0012527E" w:rsidRDefault="0012527E" w:rsidP="0012527E">
      <w:pPr>
        <w:pStyle w:val="BodyText"/>
        <w:spacing w:before="39"/>
        <w:ind w:left="1560" w:right="1949"/>
        <w:jc w:val="center"/>
      </w:pPr>
      <w:r>
        <w:rPr>
          <w:rFonts w:ascii="Arial" w:eastAsia="Arial" w:hAnsi="Arial" w:cs="Arial"/>
          <w:color w:val="000000"/>
        </w:rPr>
        <w:t>¹</w:t>
      </w:r>
      <w:r>
        <w:rPr>
          <w:rFonts w:ascii="Arial" w:eastAsia="Arial" w:hAnsi="Arial" w:cs="Arial"/>
        </w:rPr>
        <w:t>Fakultas Kesehatan Masyarakat, Universitas Gorontalo</w:t>
      </w:r>
      <w:r>
        <w:t xml:space="preserve"> </w:t>
      </w:r>
    </w:p>
    <w:p w14:paraId="1F13FD5B" w14:textId="09B55BDF" w:rsidR="0012527E" w:rsidRDefault="00752542" w:rsidP="0012527E">
      <w:pPr>
        <w:pStyle w:val="BodyText"/>
        <w:spacing w:before="39"/>
        <w:ind w:left="1927" w:right="1949"/>
        <w:jc w:val="center"/>
      </w:pPr>
      <w:r>
        <w:t xml:space="preserve">e-mail: </w:t>
      </w:r>
      <w:hyperlink r:id="rId7" w:history="1">
        <w:r w:rsidR="00ED786F" w:rsidRPr="00EA4B15">
          <w:rPr>
            <w:rStyle w:val="Hyperlink"/>
          </w:rPr>
          <w:t>anggintbo13@gmail.com</w:t>
        </w:r>
      </w:hyperlink>
    </w:p>
    <w:p w14:paraId="56A51003" w14:textId="77777777" w:rsidR="00A45AED" w:rsidRDefault="00A45AED">
      <w:pPr>
        <w:pStyle w:val="BodyText"/>
        <w:spacing w:before="9"/>
        <w:rPr>
          <w:sz w:val="28"/>
        </w:rPr>
      </w:pPr>
    </w:p>
    <w:p w14:paraId="1564143D" w14:textId="77777777" w:rsidR="00A45AED" w:rsidRPr="006F3E26" w:rsidRDefault="00752542">
      <w:pPr>
        <w:pStyle w:val="Heading3"/>
        <w:ind w:right="1949"/>
        <w:rPr>
          <w:i w:val="0"/>
        </w:rPr>
      </w:pPr>
      <w:r w:rsidRPr="006F3E26">
        <w:rPr>
          <w:i w:val="0"/>
        </w:rPr>
        <w:t>ABSTRAK</w:t>
      </w:r>
    </w:p>
    <w:p w14:paraId="4E74FE6C" w14:textId="56572513" w:rsidR="00A45AED" w:rsidRDefault="00757639" w:rsidP="00757639">
      <w:pPr>
        <w:pStyle w:val="BodyText"/>
        <w:spacing w:before="5"/>
        <w:ind w:firstLine="720"/>
        <w:jc w:val="both"/>
        <w:rPr>
          <w:sz w:val="25"/>
        </w:rPr>
      </w:pPr>
      <w:r w:rsidRPr="00757639">
        <w:t>Kegiatan pengabdian kepada masyarakat ini bertujuan untuk meningkatkan pemahaman masyarakat Desa Mongolato mengenai Penyakit Tidak Menular (PTM), seperti hipertensi dan diabetes melitus. Pelaksanaan dilakukan melalui edukasi kesehatan dan skrining tekanan darah serta kadar gula darah pada 100 responden. Metode yang digunakan meliputi pretest-posttest untuk mengevaluasi pemahaman responden sebelum dan sesudah edukasi. Hasil menunjukkan peningkatan pemahaman masyarakat sebesar 20%, dari nilai awal 59% menjadi 79%. Selain itu, skrining menunjukkan bahwa 60% responden memiliki tekanan darah tinggi, dan 27% memiliki kadar gula darah tinggi. Edukasi terbukti efektif dalam meningkatkan kesadaran masyarakat terhadap faktor risiko, pencegahan, dan pengelolaan PTM. Sebagai tindak lanjut, disarankan untuk melakukan monitoring rutin dan membentuk kelompok masyarakat peduli kesehatan untuk mendukung program pencegahan berkelanjutan.</w:t>
      </w:r>
    </w:p>
    <w:p w14:paraId="795164B9" w14:textId="37B44DEA" w:rsidR="00A45AED" w:rsidRDefault="00752542" w:rsidP="00757639">
      <w:r>
        <w:rPr>
          <w:b/>
        </w:rPr>
        <w:t xml:space="preserve">Kata kunci </w:t>
      </w:r>
      <w:r>
        <w:t xml:space="preserve">: </w:t>
      </w:r>
      <w:r w:rsidR="00757639" w:rsidRPr="00757639">
        <w:t>Edukasi kesehatan, Penyakit Tidak Menular, skrining, hipertensi, diabetes melitus.</w:t>
      </w:r>
    </w:p>
    <w:p w14:paraId="42921833" w14:textId="77777777" w:rsidR="00A45AED" w:rsidRDefault="00A45AED">
      <w:pPr>
        <w:pStyle w:val="BodyText"/>
        <w:rPr>
          <w:sz w:val="24"/>
        </w:rPr>
      </w:pPr>
    </w:p>
    <w:p w14:paraId="79B73444" w14:textId="77777777" w:rsidR="00A45AED" w:rsidRDefault="00A45AED">
      <w:pPr>
        <w:pStyle w:val="BodyText"/>
        <w:spacing w:before="2"/>
        <w:rPr>
          <w:sz w:val="30"/>
        </w:rPr>
      </w:pPr>
    </w:p>
    <w:p w14:paraId="045D0972" w14:textId="77777777" w:rsidR="00A45AED" w:rsidRDefault="00752542">
      <w:pPr>
        <w:pStyle w:val="Heading3"/>
      </w:pPr>
      <w:r>
        <w:t>ABSTRACT</w:t>
      </w:r>
    </w:p>
    <w:p w14:paraId="3461B580" w14:textId="37D6AE04" w:rsidR="006F3E26" w:rsidRPr="00757639" w:rsidRDefault="00757639" w:rsidP="00757639">
      <w:pPr>
        <w:pStyle w:val="BodyText"/>
        <w:spacing w:before="36" w:line="276" w:lineRule="auto"/>
        <w:ind w:left="100" w:right="119" w:firstLine="708"/>
        <w:jc w:val="both"/>
        <w:rPr>
          <w:i/>
          <w:lang w:val="id-ID"/>
        </w:rPr>
      </w:pPr>
      <w:r w:rsidRPr="00757639">
        <w:rPr>
          <w:i/>
        </w:rPr>
        <w:t>This community service activity aims to improve the understanding of the Mongolato Village community regarding Non-Communicable Diseases (NCDs), such as hypertension and diabetes mellitus. The implementation was carried out through health education and screening of blood pressure and blood sugar levels in 100 respondents. The method used included a pretest-posttest to evaluate the respondents' understanding before and after education. The results showed an increase in community understanding by 20%, from an initial value of 59% to 79%. In addition, screening showed that 60% of respondents had high blood pressure, and 27% had high blood sugar levels. Education has proven effective in increasing public awareness of risk factors, prevention, and management of NCDs. As a follow-up, it is recommended to carry out routine monitoring and form health-conscious community groups to support sustainable prevention programs.</w:t>
      </w:r>
    </w:p>
    <w:p w14:paraId="237CC8E5" w14:textId="12FFB56D" w:rsidR="00A45AED" w:rsidRDefault="00752542">
      <w:pPr>
        <w:ind w:left="100"/>
        <w:rPr>
          <w:i/>
        </w:rPr>
      </w:pPr>
      <w:r>
        <w:rPr>
          <w:b/>
          <w:i/>
        </w:rPr>
        <w:t xml:space="preserve">Keywords </w:t>
      </w:r>
      <w:r>
        <w:rPr>
          <w:i/>
        </w:rPr>
        <w:t xml:space="preserve">: </w:t>
      </w:r>
      <w:r w:rsidR="00757639" w:rsidRPr="00757639">
        <w:rPr>
          <w:i/>
        </w:rPr>
        <w:t>Health education, Non-Communicable Diseases, screening, hypertension, diabetes mellitus.</w:t>
      </w:r>
    </w:p>
    <w:p w14:paraId="0533AF72" w14:textId="77777777" w:rsidR="00A45AED" w:rsidRDefault="00A45AED">
      <w:pPr>
        <w:pStyle w:val="BodyText"/>
        <w:rPr>
          <w:i/>
          <w:sz w:val="24"/>
        </w:rPr>
      </w:pPr>
    </w:p>
    <w:p w14:paraId="2ADE4902" w14:textId="77777777" w:rsidR="00A45AED" w:rsidRDefault="00752542">
      <w:pPr>
        <w:pStyle w:val="Heading1"/>
        <w:numPr>
          <w:ilvl w:val="0"/>
          <w:numId w:val="1"/>
        </w:numPr>
        <w:tabs>
          <w:tab w:val="left" w:pos="821"/>
        </w:tabs>
        <w:ind w:hanging="361"/>
      </w:pPr>
      <w:r>
        <w:t>PENDAHULUAN</w:t>
      </w:r>
    </w:p>
    <w:p w14:paraId="59E29E69" w14:textId="25944BBA" w:rsidR="0012527E" w:rsidRPr="0012527E" w:rsidRDefault="00522077" w:rsidP="005E1BC3">
      <w:pPr>
        <w:pStyle w:val="ListParagraph"/>
        <w:spacing w:after="240" w:line="360" w:lineRule="auto"/>
        <w:ind w:firstLine="0"/>
        <w:jc w:val="both"/>
        <w:rPr>
          <w:rFonts w:eastAsia="Bookman Old Style"/>
          <w:sz w:val="24"/>
          <w:szCs w:val="24"/>
        </w:rPr>
      </w:pPr>
      <w:bookmarkStart w:id="0" w:name="_Hlk187256517"/>
      <w:r>
        <w:rPr>
          <w:rFonts w:eastAsia="Bookman Old Style"/>
          <w:sz w:val="24"/>
          <w:szCs w:val="24"/>
        </w:rPr>
        <w:tab/>
      </w:r>
      <w:r w:rsidR="0012527E" w:rsidRPr="0012527E">
        <w:rPr>
          <w:rFonts w:eastAsia="Bookman Old Style"/>
          <w:sz w:val="24"/>
          <w:szCs w:val="24"/>
        </w:rPr>
        <w:t xml:space="preserve">Penyakit tidak menular (PTM) merujuk pada penyakit atau kondisi medis yang tidak dapat berpindah dari satu individu ke individu lainnya. Sebagian besar PTM </w:t>
      </w:r>
      <w:r w:rsidR="0012527E" w:rsidRPr="0012527E">
        <w:rPr>
          <w:rFonts w:eastAsia="Bookman Old Style"/>
          <w:sz w:val="24"/>
          <w:szCs w:val="24"/>
        </w:rPr>
        <w:lastRenderedPageBreak/>
        <w:t xml:space="preserve">terjadi di negara-negara dengan pendapatan rendah dan menengah </w:t>
      </w:r>
      <w:r w:rsidR="0012527E" w:rsidRPr="0012527E">
        <w:rPr>
          <w:rFonts w:eastAsia="Bookman Old Style"/>
          <w:sz w:val="24"/>
          <w:szCs w:val="24"/>
        </w:rPr>
        <w:fldChar w:fldCharType="begin" w:fldLock="1"/>
      </w:r>
      <w:r w:rsidR="0012527E" w:rsidRPr="0012527E">
        <w:rPr>
          <w:rFonts w:eastAsia="Bookman Old Style"/>
          <w:sz w:val="24"/>
          <w:szCs w:val="24"/>
        </w:rPr>
        <w:instrText>ADDIN CSL_CITATION {"citationItems":[{"id":"ITEM-1","itemData":{"DOI":"10.37859/jpumri.v7i2.5390","ISSN":"2550-0198","abstract":"Penyakit tidak menular (PTM) adalah penyakit atau kondisi medis yang tidak dapat ditularkan dari satu orang ke orang lain. Mayoritas PTM terjadi di negara berpenghasilan rendah dan menengah. Menurut WHO, pada tahun 2016, sekitar 71% kematian di seluruh dunia disebabkan oleh penyakit tidak menular, yang membunuh 36 juta orang setiap tahun, 80% dari kematian ini terjadi di negara berpenghasilan rendah dan menengah. Indonesia merupakan salah satu negara berkembang yang mayoritas penduduknya masih berstatus ekonomi rendah hingga sedang dan saat ini menghadapi beban penyakit ganda yaitu penyakit menular dan penyakit tidak menular. Program pengabdian dilakukan di Posyandu Mawar Putih, RW 06, Kelurahan Sekip, Kota Pekanbaru. Metode dalam program ini adalah edukasi, pemeriksaan tekanan darah, gula darah dan asam urat serta pelaksanaan aktivitas fisik yatiu senam sehat. Hasil dari program pengabdian ini antara lain, dari sebanyak 50 orang peserta kegiatan yang melakukan pengecekan kesehatan tekanan darah sebanyak 70,0%, gula darah sebanyak 18,0%, dan asam urat sebanyak 26,0%. Dengan adanya kegiatan ini diharapkan masyarakat menjadi semakin sadar akan pentingnya tes kesehatan secara berkala untuk deteksi dini PTM.","author":[{"dropping-particle":"","family":"Zulsefriandi","given":"Raja","non-dropping-particle":"","parse-names":false,"suffix":""},{"dropping-particle":"","family":"Alamsyah","given":"Agus","non-dropping-particle":"","parse-names":false,"suffix":""},{"dropping-particle":"","family":"Vita Gloria Purba","given":"Christine","non-dropping-particle":"","parse-names":false,"suffix":""}],"container-title":"Jurnal Pengabdian UntukMu NegeRI","id":"ITEM-1","issue":"2","issued":{"date-parts":[["2023"]]},"page":"192-196","title":"Deteksi Dini Penyakit Tidak Menular Dengan Melakukan Pemeriksaan Kesehatan dan Edukasi Kesehatan","type":"article-journal","volume":"7"},"uris":["http://www.mendeley.com/documents/?uuid=1c6140d5-2455-4787-b2c9-680a756c0a17"]}],"mendeley":{"formattedCitation":"(Zulsefriandi et al., 2023)","plainTextFormattedCitation":"(Zulsefriandi et al., 2023)","previouslyFormattedCitation":"(Zulsefriandi et al., 2023)"},"properties":{"noteIndex":0},"schema":"https://github.com/citation-style-language/schema/raw/master/csl-citation.json"}</w:instrText>
      </w:r>
      <w:r w:rsidR="0012527E" w:rsidRPr="0012527E">
        <w:rPr>
          <w:rFonts w:eastAsia="Bookman Old Style"/>
          <w:sz w:val="24"/>
          <w:szCs w:val="24"/>
        </w:rPr>
        <w:fldChar w:fldCharType="separate"/>
      </w:r>
      <w:r w:rsidR="0012527E" w:rsidRPr="0012527E">
        <w:rPr>
          <w:rFonts w:eastAsia="Bookman Old Style"/>
          <w:noProof/>
          <w:sz w:val="24"/>
          <w:szCs w:val="24"/>
        </w:rPr>
        <w:t>(Zulsefriandi et al., 2023)</w:t>
      </w:r>
      <w:r w:rsidR="0012527E" w:rsidRPr="0012527E">
        <w:rPr>
          <w:rFonts w:eastAsia="Bookman Old Style"/>
          <w:sz w:val="24"/>
          <w:szCs w:val="24"/>
        </w:rPr>
        <w:fldChar w:fldCharType="end"/>
      </w:r>
      <w:r w:rsidR="0012527E" w:rsidRPr="0012527E">
        <w:rPr>
          <w:rFonts w:eastAsia="Bookman Old Style"/>
          <w:sz w:val="24"/>
          <w:szCs w:val="24"/>
        </w:rPr>
        <w:t xml:space="preserve">. Penyakit tidak menular, yang juga dikenal sebagai penyakit degeneratif, merupakan salah satu isu kesehatan utama di abad ke-21 karena angka morbiditas dan mortalitasnya yang tinggi di seluruh dunia. Menurut WHO, penyakit tidak menular adalah penyebab utama kematian global. Setiap tahunnya, sekitar 36 juta orang meninggal dunia akibat penyakit tidak menular </w:t>
      </w:r>
      <w:r w:rsidR="0012527E" w:rsidRPr="0012527E">
        <w:rPr>
          <w:rFonts w:eastAsia="Bookman Old Style"/>
          <w:sz w:val="24"/>
          <w:szCs w:val="24"/>
        </w:rPr>
        <w:fldChar w:fldCharType="begin" w:fldLock="1"/>
      </w:r>
      <w:r w:rsidR="0012527E" w:rsidRPr="0012527E">
        <w:rPr>
          <w:rFonts w:eastAsia="Bookman Old Style"/>
          <w:sz w:val="24"/>
          <w:szCs w:val="24"/>
        </w:rPr>
        <w:instrText>ADDIN CSL_CITATION {"citationItems":[{"id":"ITEM-1","itemData":{"DOI":"10.31004/cdj.v2i3.2769","ISSN":"2721-4990","abstract":"WHO menyebutkan penyakit tidak menular merupakan penyakit penyebab kematian terbanyak di dunia. Kematian akibat penyakit tidak menular sekitar 36 juta penduduk tiap tahunnya. Tujuan kegiatan pengabdian kepada masyarakat ini adalah agar masyarakat dapat berperilaku hidup sehat dan terhindar dari berbagai jenis penyakit tidak menular. Kegiatan pengabdian kepada masyarakat dilakukan di Kelurahan Silale Kota Ambon dengan cara memberikan pendidikan kepada masyarakat berupa penyuluhan. Pengetahuan masyarakat mengenai pencegahan faktor risiko penyakit tidak menular dapat diketahui dengan baik setelah dilakukan penyuluhan. Tujuan penyuluhan ini adalah agar masyarakat dapat memahami dan sadar untuk berperilaku hidup sehat sehingga dapat terhindar dari penyakit tidak menular.","author":[{"dropping-particle":"","family":"Asmin","given":"Elpira","non-dropping-particle":"","parse-names":false,"suffix":""},{"dropping-particle":"","family":"Tahitu","given":"Ritha","non-dropping-particle":"","parse-names":false,"suffix":""},{"dropping-particle":"","family":"Que","given":"Bertha Jean","non-dropping-particle":"","parse-names":false,"suffix":""},{"dropping-particle":"","family":"Astuty","given":"Eka","non-dropping-particle":"","parse-names":false,"suffix":""}],"container-title":"Community Development Journal : Jurnal Pengabdian Masyarakat","id":"ITEM-1","issue":"3","issued":{"date-parts":[["2021"]]},"page":"940-944","title":"Penyuluhan Penyakit Tidak Menular Pada Masyarakat","type":"article-journal","volume":"2"},"uris":["http://www.mendeley.com/documents/?uuid=883e81ce-1415-4c1e-bb65-5df84c626237"]}],"mendeley":{"formattedCitation":"(Asmin et al., 2021)","plainTextFormattedCitation":"(Asmin et al., 2021)","previouslyFormattedCitation":"(Asmin et al., 2021)"},"properties":{"noteIndex":0},"schema":"https://github.com/citation-style-language/schema/raw/master/csl-citation.json"}</w:instrText>
      </w:r>
      <w:r w:rsidR="0012527E" w:rsidRPr="0012527E">
        <w:rPr>
          <w:rFonts w:eastAsia="Bookman Old Style"/>
          <w:sz w:val="24"/>
          <w:szCs w:val="24"/>
        </w:rPr>
        <w:fldChar w:fldCharType="separate"/>
      </w:r>
      <w:r w:rsidR="0012527E" w:rsidRPr="0012527E">
        <w:rPr>
          <w:rFonts w:eastAsia="Bookman Old Style"/>
          <w:noProof/>
          <w:sz w:val="24"/>
          <w:szCs w:val="24"/>
        </w:rPr>
        <w:t>(Asmin et al., 2021)</w:t>
      </w:r>
      <w:r w:rsidR="0012527E" w:rsidRPr="0012527E">
        <w:rPr>
          <w:rFonts w:eastAsia="Bookman Old Style"/>
          <w:sz w:val="24"/>
          <w:szCs w:val="24"/>
        </w:rPr>
        <w:fldChar w:fldCharType="end"/>
      </w:r>
      <w:r w:rsidR="0012527E" w:rsidRPr="0012527E">
        <w:rPr>
          <w:rFonts w:eastAsia="Bookman Old Style"/>
          <w:sz w:val="24"/>
          <w:szCs w:val="24"/>
        </w:rPr>
        <w:t>.</w:t>
      </w:r>
    </w:p>
    <w:p w14:paraId="65E40439" w14:textId="4529D9D7" w:rsidR="0012527E" w:rsidRPr="0012527E" w:rsidRDefault="00522077" w:rsidP="008E053A">
      <w:pPr>
        <w:pStyle w:val="ListParagraph"/>
        <w:spacing w:before="240" w:line="360" w:lineRule="auto"/>
        <w:ind w:firstLine="0"/>
        <w:jc w:val="both"/>
        <w:rPr>
          <w:rFonts w:eastAsia="Bookman Old Style"/>
          <w:sz w:val="24"/>
          <w:szCs w:val="24"/>
        </w:rPr>
      </w:pPr>
      <w:r>
        <w:rPr>
          <w:rFonts w:eastAsia="Bookman Old Style"/>
          <w:sz w:val="24"/>
          <w:szCs w:val="24"/>
        </w:rPr>
        <w:tab/>
      </w:r>
      <w:r w:rsidR="0012527E" w:rsidRPr="0012527E">
        <w:rPr>
          <w:rFonts w:eastAsia="Bookman Old Style"/>
          <w:sz w:val="24"/>
          <w:szCs w:val="24"/>
        </w:rPr>
        <w:t>Secara umum, penyakit tidak menular seperti obesitas, Diabetes Mellitus (DM), dan hipertensi merupakan penyebab utama kematian di seluruh dunia. Diabetes Melitus dan hipertensi menjadi ancaman besar bagi kesehatan baik di tingkat global maupun nasional. Kedua penyakit ini dapat menimbulkan komplikasi penyakit kronis lainnya dan berisiko menyebabkan kematian jika tidak dikelola dengan baik</w:t>
      </w:r>
      <w:r w:rsidR="0012527E" w:rsidRPr="0012527E">
        <w:rPr>
          <w:rFonts w:eastAsia="Bookman Old Style"/>
          <w:sz w:val="24"/>
          <w:szCs w:val="24"/>
        </w:rPr>
        <w:fldChar w:fldCharType="begin" w:fldLock="1"/>
      </w:r>
      <w:r w:rsidR="0012527E" w:rsidRPr="0012527E">
        <w:rPr>
          <w:rFonts w:eastAsia="Bookman Old Style"/>
          <w:sz w:val="24"/>
          <w:szCs w:val="24"/>
        </w:rPr>
        <w:instrText>ADDIN CSL_CITATION {"citationItems":[{"id":"ITEM-1","itemData":{"abstract":"…hipertensi diantaranya faktor genetik dan faktor lingkungan …Dusun Mutihan berdasarkan data kunjungan masih terbilang banyak…rutin pada saat kegiatan posbindu atau pos pelayanan …","author":[{"dropping-particle":"","family":"Ifalahma","given":"D","non-dropping-particle":"","parse-names":false,"suffix":""},{"dropping-particle":"","family":"Hikmah","given":"N","non-dropping-particle":"","parse-names":false,"suffix":""},{"dropping-particle":"","family":"Yuliana","given":"A","non-dropping-particle":"","parse-names":false,"suffix":""},{"dropping-particle":"","family":"...","given":"","non-dropping-particle":"","parse-names":false,"suffix":""}],"container-title":"Jurnal Abdimas …","id":"ITEM-1","issue":"1","issued":{"date-parts":[["2023"]]},"page":"835-840","title":"Deteksi Penyakit Tidak Menular Dan Upaya Pencegahan Pada Warga Kelurahan Sondakan Laweyan Surakarta","type":"article-journal","volume":"4"},"uris":["http://www.mendeley.com/documents/?uuid=9cd770d8-e0f5-4c44-be2e-888c92293c1f"]}],"mendeley":{"formattedCitation":"(Ifalahma et al., 2023)","plainTextFormattedCitation":"(Ifalahma et al., 2023)","previouslyFormattedCitation":"(Ifalahma et al., 2023)"},"properties":{"noteIndex":0},"schema":"https://github.com/citation-style-language/schema/raw/master/csl-citation.json"}</w:instrText>
      </w:r>
      <w:r w:rsidR="0012527E" w:rsidRPr="0012527E">
        <w:rPr>
          <w:rFonts w:eastAsia="Bookman Old Style"/>
          <w:sz w:val="24"/>
          <w:szCs w:val="24"/>
        </w:rPr>
        <w:fldChar w:fldCharType="separate"/>
      </w:r>
      <w:r w:rsidR="0012527E" w:rsidRPr="0012527E">
        <w:rPr>
          <w:rFonts w:eastAsia="Bookman Old Style"/>
          <w:noProof/>
          <w:sz w:val="24"/>
          <w:szCs w:val="24"/>
        </w:rPr>
        <w:t>(Ifalahma et al., 2023)</w:t>
      </w:r>
      <w:r w:rsidR="0012527E" w:rsidRPr="0012527E">
        <w:rPr>
          <w:rFonts w:eastAsia="Bookman Old Style"/>
          <w:sz w:val="24"/>
          <w:szCs w:val="24"/>
        </w:rPr>
        <w:fldChar w:fldCharType="end"/>
      </w:r>
      <w:r w:rsidR="0012527E" w:rsidRPr="0012527E">
        <w:rPr>
          <w:rFonts w:eastAsia="Bookman Old Style"/>
          <w:sz w:val="24"/>
          <w:szCs w:val="24"/>
        </w:rPr>
        <w:t xml:space="preserve">. </w:t>
      </w:r>
    </w:p>
    <w:p w14:paraId="7782F5FD" w14:textId="7196DA94" w:rsidR="0012527E" w:rsidRPr="0012527E" w:rsidRDefault="00522077" w:rsidP="0012527E">
      <w:pPr>
        <w:pStyle w:val="ListParagraph"/>
        <w:spacing w:line="360" w:lineRule="auto"/>
        <w:ind w:firstLine="0"/>
        <w:jc w:val="both"/>
        <w:rPr>
          <w:rFonts w:eastAsia="Bookman Old Style"/>
          <w:sz w:val="24"/>
          <w:szCs w:val="24"/>
        </w:rPr>
      </w:pPr>
      <w:r>
        <w:rPr>
          <w:rFonts w:eastAsia="Bookman Old Style"/>
          <w:sz w:val="24"/>
          <w:szCs w:val="24"/>
        </w:rPr>
        <w:tab/>
      </w:r>
      <w:r w:rsidR="0012527E" w:rsidRPr="0012527E">
        <w:rPr>
          <w:rFonts w:eastAsia="Bookman Old Style"/>
          <w:sz w:val="24"/>
          <w:szCs w:val="24"/>
        </w:rPr>
        <w:t>Hipertensi, atau tekanan darah tinggi, merupakan masalah kesehatan serius di dunia karena penderita hipertensi memiliki risiko lebih tinggi untuk mengalami penyakit lain, Seseorang dikategorikan menderita hipertensi jika tekanan darah sistoliknya mencapai atau melebihi 140 mmHg dan tekanan darah diastoliknya mencapai atau melebihi 90 mmHg</w:t>
      </w:r>
      <w:r w:rsidR="0012527E" w:rsidRPr="0012527E">
        <w:rPr>
          <w:rFonts w:eastAsia="Bookman Old Style"/>
          <w:sz w:val="24"/>
          <w:szCs w:val="24"/>
        </w:rPr>
        <w:fldChar w:fldCharType="begin" w:fldLock="1"/>
      </w:r>
      <w:r w:rsidR="0012527E" w:rsidRPr="0012527E">
        <w:rPr>
          <w:rFonts w:eastAsia="Bookman Old Style"/>
          <w:sz w:val="24"/>
          <w:szCs w:val="24"/>
        </w:rPr>
        <w:instrText>ADDIN CSL_CITATION {"citationItems":[{"id":"ITEM-1","itemData":{"DOI":"10.15294/higeia.v8i1.67857","ISSN":"2541-5603","abstract":"Abstrak\r Hipertensi merupakan keadaan tekanan darah sistolik ≥ 140 mmHg dan tekanan darah diastolik ≥ 90 mmHg. Diperkirakan pada tahun 2021 terdapat 362.460 penderita hipertensi di Kabupaten Magelang, sementara hanya 43.053 yang mendapatkan pelayanan standar. Pada tahun 2021, Puskesmas Grabag 2 menjadi salah satu puskesmas dengan angka hipertensi tinggi yaitu 782 kasus. Tujuan penelitian untuk mengidentifikasi faktor risiko hipertensi di Puskesmas Grabag 2. Penelitian ini menggunakan metodologi observasional analitik dengan desain studi cross-sectional. Populasi penelitian sebanyak 1042 orang. Teknik pengambilan sampel menggunakan total sampling dan menggunakan data sekunder kunjungan Posbindu PTM di Puskesmas Grabag 2 pada bulan Agustus 2022. Usia (p-value 0,001) dan tingkat pendidikan (p-value 0,001) ditemukan berhubungan terhadap kejadian hipertensi, sedangkan faktor risiko lainnya tidak berhubungan. Penyuluhan tentang hipertensi sangat diperlukan, terutama bagi pasien usia lanjut, agar dapat lebih meningkatkan kualitas hidup mereka.\r Kata kunci: hipertensi, faktor risiko, posbindu\r  \r Abstract\r Hypertension is a condition of systolic blood pressure ≥ 140 mmHg and diastolic blood pressure ≥ 90 mmHg. It is estimated that in 2021 there will be 362,460 people with hypertension in Magelang Regency, while only 43,053 will receive standard services. In 2021, Grabag 2 Health Center will be one of the health centers with a high rate of hypertension, namely 782 cases. The research objective was to identify the risk factors for hypertension at the Grabag 2 Health Center. This study used an analytic observational methodology with a cross-sectional study design. The research population was 1042 people. The sampling technique used total sampling and used secondary data from PTM Posbindu visits at the Grabag 2 Health Center in August 2022. Age (p-value 0.001) and educational level (p-value 0.001) were found to be related to the incidence of hypertension, while other risk factors were not related. Education about hypertension is very necessary, especially for elderly patients, in order to further improve their quality of life.\r Keywords: hypertension, risk factors, posbindu","author":[{"dropping-particle":"","family":"Fiana","given":"Fika Khikma","non-dropping-particle":"","parse-names":false,"suffix":""},{"dropping-particle":"","family":"Indarjo","given":"Sofwan","non-dropping-particle":"","parse-names":false,"suffix":""}],"container-title":"HIGEIA (Journal of Public Health Research and Development)","id":"ITEM-1","issue":"1","issued":{"date-parts":[["2024"]]},"page":"1-11","title":"Analisis Faktor-Faktor yang Memengaruhi Kejadian Hipertensi","type":"article-journal","volume":"8"},"uris":["http://www.mendeley.com/documents/?uuid=5cfa34e4-48b2-4391-843d-5345e45eec12"]}],"mendeley":{"formattedCitation":"(Fiana &amp; Indarjo, 2024)","plainTextFormattedCitation":"(Fiana &amp; Indarjo, 2024)","previouslyFormattedCitation":"(Fiana &amp; Indarjo, 2024)"},"properties":{"noteIndex":0},"schema":"https://github.com/citation-style-language/schema/raw/master/csl-citation.json"}</w:instrText>
      </w:r>
      <w:r w:rsidR="0012527E" w:rsidRPr="0012527E">
        <w:rPr>
          <w:rFonts w:eastAsia="Bookman Old Style"/>
          <w:sz w:val="24"/>
          <w:szCs w:val="24"/>
        </w:rPr>
        <w:fldChar w:fldCharType="separate"/>
      </w:r>
      <w:r w:rsidR="0012527E" w:rsidRPr="0012527E">
        <w:rPr>
          <w:rFonts w:eastAsia="Bookman Old Style"/>
          <w:noProof/>
          <w:sz w:val="24"/>
          <w:szCs w:val="24"/>
        </w:rPr>
        <w:t>(Fiana &amp; Indarjo, 2024)</w:t>
      </w:r>
      <w:r w:rsidR="0012527E" w:rsidRPr="0012527E">
        <w:rPr>
          <w:rFonts w:eastAsia="Bookman Old Style"/>
          <w:sz w:val="24"/>
          <w:szCs w:val="24"/>
        </w:rPr>
        <w:fldChar w:fldCharType="end"/>
      </w:r>
      <w:r w:rsidR="0012527E" w:rsidRPr="0012527E">
        <w:rPr>
          <w:rFonts w:eastAsia="Bookman Old Style"/>
          <w:sz w:val="24"/>
          <w:szCs w:val="24"/>
        </w:rPr>
        <w:t>. Diabetes melitus (DM) merupakan penyakit kronis yang terjadi akibat pankreas tidak mampu memproduksi insulin dalam jumlah cukup atau tubuh tidak dapat memanfaatkan insulin secara efektif. Insulin sendiri adalah hormon yang berperan dalam mengatur kadar gula darah</w:t>
      </w:r>
      <w:r w:rsidR="0012527E" w:rsidRPr="0012527E">
        <w:rPr>
          <w:rFonts w:eastAsia="Bookman Old Style"/>
          <w:sz w:val="24"/>
          <w:szCs w:val="24"/>
        </w:rPr>
        <w:fldChar w:fldCharType="begin" w:fldLock="1"/>
      </w:r>
      <w:r w:rsidR="0012527E" w:rsidRPr="0012527E">
        <w:rPr>
          <w:rFonts w:eastAsia="Bookman Old Style"/>
          <w:sz w:val="24"/>
          <w:szCs w:val="24"/>
        </w:rPr>
        <w:instrText>ADDIN CSL_CITATION {"citationItems":[{"id":"ITEM-1","itemData":{"DOI":"10.35816/abdimaspolsaka.v2i1.25","abstract":"Latar belakang: Diabetes melitus merupakan penyakit kronis yang terjadi ketika pankreas tidak dapat memroduksi insulin yang cukup atau ketika tubuh tidak dapat menggunakan insulin yang dihasilkan secara efektif. Insulin adalah hormon yang mengatur gula darah.\r Tujuan pengabdian: Memberikan edukasi kesehatan tentang penyakit diabetes melitus bagi masyarakat.\r Metode: Kegiatan pengabdian ini dilakukan melalui metode observasi langsung kepada masyarakat dan edukasi dor to dor.\r Hasil: Menunjukkan bahwa dengan penyuluhan dapat meningkatkan pengetahuan setiap individu Pretest 48% dan Posttest 78%.\r Kesimpulan: Bahwa dengan memberikan pendidikan kesehatan kepada masyarakat, maka pengetahuan mereka pun meningkat. Kegiatan pengabdian masyarakat ini dapat memberikan dampak bagi peningkatan derajat kesehatan masyarakat","author":[{"dropping-particle":"","family":"Aminuddin","given":"Aminuddin","non-dropping-particle":"","parse-names":false,"suffix":""},{"dropping-particle":"","family":"Yenny Sima","given":"","non-dropping-particle":"","parse-names":false,"suffix":""},{"dropping-particle":"","family":"Nurril Cholifatul Izza","given":"","non-dropping-particle":"","parse-names":false,"suffix":""},{"dropping-particle":"","family":"Nur Syamsi Norma Lalla","given":"","non-dropping-particle":"","parse-names":false,"suffix":""},{"dropping-particle":"","family":"Darmi Arda","given":"","non-dropping-particle":"","parse-names":false,"suffix":""}],"container-title":"Abdimas Polsaka","id":"ITEM-1","issued":{"date-parts":[["2023"]]},"page":"7-12","title":"Edukasi Kesehatan Tentang Penyakit Diabetes Melitus bagi Masyarakat","type":"article-journal"},"uris":["http://www.mendeley.com/documents/?uuid=b90d0b26-86d2-4746-8424-e84c5c4f1b8f"]}],"mendeley":{"formattedCitation":"(Aminuddin et al., 2023)","plainTextFormattedCitation":"(Aminuddin et al., 2023)","previouslyFormattedCitation":"(Aminuddin et al., 2023)"},"properties":{"noteIndex":0},"schema":"https://github.com/citation-style-language/schema/raw/master/csl-citation.json"}</w:instrText>
      </w:r>
      <w:r w:rsidR="0012527E" w:rsidRPr="0012527E">
        <w:rPr>
          <w:rFonts w:eastAsia="Bookman Old Style"/>
          <w:sz w:val="24"/>
          <w:szCs w:val="24"/>
        </w:rPr>
        <w:fldChar w:fldCharType="separate"/>
      </w:r>
      <w:r w:rsidR="0012527E" w:rsidRPr="0012527E">
        <w:rPr>
          <w:rFonts w:eastAsia="Bookman Old Style"/>
          <w:noProof/>
          <w:sz w:val="24"/>
          <w:szCs w:val="24"/>
        </w:rPr>
        <w:t>(Aminuddin et al., 2023)</w:t>
      </w:r>
      <w:r w:rsidR="0012527E" w:rsidRPr="0012527E">
        <w:rPr>
          <w:rFonts w:eastAsia="Bookman Old Style"/>
          <w:sz w:val="24"/>
          <w:szCs w:val="24"/>
        </w:rPr>
        <w:fldChar w:fldCharType="end"/>
      </w:r>
      <w:r w:rsidR="0012527E" w:rsidRPr="0012527E">
        <w:rPr>
          <w:rFonts w:eastAsia="Bookman Old Style"/>
          <w:sz w:val="24"/>
          <w:szCs w:val="24"/>
        </w:rPr>
        <w:t>.</w:t>
      </w:r>
    </w:p>
    <w:p w14:paraId="7623F1B4" w14:textId="434C58ED" w:rsidR="0012527E" w:rsidRPr="0012527E" w:rsidRDefault="00522077" w:rsidP="0012527E">
      <w:pPr>
        <w:pStyle w:val="ListParagraph"/>
        <w:spacing w:line="360" w:lineRule="auto"/>
        <w:ind w:firstLine="0"/>
        <w:jc w:val="both"/>
        <w:rPr>
          <w:rFonts w:eastAsia="Bookman Old Style"/>
          <w:sz w:val="24"/>
          <w:szCs w:val="24"/>
        </w:rPr>
      </w:pPr>
      <w:r>
        <w:rPr>
          <w:rFonts w:eastAsia="Bookman Old Style"/>
          <w:sz w:val="24"/>
          <w:szCs w:val="24"/>
        </w:rPr>
        <w:tab/>
      </w:r>
      <w:r w:rsidR="0012527E" w:rsidRPr="0012527E">
        <w:rPr>
          <w:rFonts w:eastAsia="Bookman Old Style"/>
          <w:sz w:val="24"/>
          <w:szCs w:val="24"/>
        </w:rPr>
        <w:t xml:space="preserve">Berdasarkan data dari Organisasi Kesehatan Dunia (WHO) pada tahun 2008, sekitar 36 juta orang, atau hampir sepertiga dari total kematian, disebabkan oleh penyakit kronis. Di Indonesia, prevalensi hipertensi pada penduduk usia 18 tahun ke atas meningkat dari 34,1% pada tahun 2013 menjadi 34,1% pada tahun 2018. Sementara itu, prevalensi diabetes pada penduduk Indonesia berusia 15 tahun ke atas juga mengalami peningkatan, dari 2,0% pada tahun 2013 menjadi 10,9% pada tahun 2018 </w:t>
      </w:r>
      <w:r w:rsidR="0012527E" w:rsidRPr="0012527E">
        <w:rPr>
          <w:rFonts w:eastAsia="Bookman Old Style"/>
          <w:sz w:val="24"/>
          <w:szCs w:val="24"/>
        </w:rPr>
        <w:fldChar w:fldCharType="begin" w:fldLock="1"/>
      </w:r>
      <w:r w:rsidR="0012527E" w:rsidRPr="0012527E">
        <w:rPr>
          <w:rFonts w:eastAsia="Bookman Old Style"/>
          <w:sz w:val="24"/>
          <w:szCs w:val="24"/>
        </w:rPr>
        <w:instrText>ADDIN CSL_CITATION {"citationItems":[{"id":"ITEM-1","itemData":{"abstract":"… quality of life levels of diabetes mellitus and hypertension patients within Prolanis in Indonesia and the factors affecting patients' quality of life … showed that the quality of life of patients in …","author":[{"dropping-particle":"","family":"Rahmawati","given":"D","non-dropping-particle":"","parse-names":false,"suffix":""}],"container-title":"Jurnal Mandala Pharmacon Indonesia","id":"ITEM-1","issue":"1","issued":{"date-parts":[["2024"]]},"page":"116-122","title":"Kualitas Hidup Pasien Diabetes Melitus dan Hipertensi dalam Program Penyakit Kronis (Prolanis) di Indonesia: Narative Review","type":"article-journal","volume":"10"},"uris":["http://www.mendeley.com/documents/?uuid=2e1bf9e2-741d-45f8-ad4d-73446d9512c6"]}],"mendeley":{"formattedCitation":"(Rahmawati, 2024)","plainTextFormattedCitation":"(Rahmawati, 2024)","previouslyFormattedCitation":"(Rahmawati, 2024)"},"properties":{"noteIndex":0},"schema":"https://github.com/citation-style-language/schema/raw/master/csl-citation.json"}</w:instrText>
      </w:r>
      <w:r w:rsidR="0012527E" w:rsidRPr="0012527E">
        <w:rPr>
          <w:rFonts w:eastAsia="Bookman Old Style"/>
          <w:sz w:val="24"/>
          <w:szCs w:val="24"/>
        </w:rPr>
        <w:fldChar w:fldCharType="separate"/>
      </w:r>
      <w:r w:rsidR="0012527E" w:rsidRPr="0012527E">
        <w:rPr>
          <w:rFonts w:eastAsia="Bookman Old Style"/>
          <w:noProof/>
          <w:sz w:val="24"/>
          <w:szCs w:val="24"/>
        </w:rPr>
        <w:t>(Rahmawati, 2024)</w:t>
      </w:r>
      <w:r w:rsidR="0012527E" w:rsidRPr="0012527E">
        <w:rPr>
          <w:rFonts w:eastAsia="Bookman Old Style"/>
          <w:sz w:val="24"/>
          <w:szCs w:val="24"/>
        </w:rPr>
        <w:fldChar w:fldCharType="end"/>
      </w:r>
      <w:r w:rsidR="0012527E" w:rsidRPr="0012527E">
        <w:rPr>
          <w:rFonts w:eastAsia="Bookman Old Style"/>
          <w:sz w:val="24"/>
          <w:szCs w:val="24"/>
        </w:rPr>
        <w:t>.</w:t>
      </w:r>
    </w:p>
    <w:p w14:paraId="5BFC7DE6" w14:textId="62FC4AFF" w:rsidR="0012527E" w:rsidRPr="0012527E" w:rsidRDefault="00522077" w:rsidP="0012527E">
      <w:pPr>
        <w:pStyle w:val="ListParagraph"/>
        <w:spacing w:line="360" w:lineRule="auto"/>
        <w:ind w:firstLine="0"/>
        <w:jc w:val="both"/>
        <w:rPr>
          <w:rFonts w:eastAsia="Bookman Old Style"/>
          <w:sz w:val="24"/>
          <w:szCs w:val="24"/>
        </w:rPr>
      </w:pPr>
      <w:r>
        <w:rPr>
          <w:rFonts w:eastAsia="Bookman Old Style"/>
          <w:sz w:val="24"/>
          <w:szCs w:val="24"/>
        </w:rPr>
        <w:tab/>
      </w:r>
      <w:r w:rsidR="0012527E" w:rsidRPr="0012527E">
        <w:rPr>
          <w:rFonts w:eastAsia="Bookman Old Style"/>
          <w:sz w:val="24"/>
          <w:szCs w:val="24"/>
        </w:rPr>
        <w:t xml:space="preserve">Peningkatan kasus Penyakit Tidak Menular (PTM) erat kaitannya dengan perubahan gaya hidup yang dipengaruhi oleh modernisasi, urbanisasi, globalisasi, dan pertumbuhan populasi. PTM muncul akibat kombinasi faktor risiko yang dapat dimodifikasi dan tidak dapat dimodifikasi. Faktor risiko yang dapat dimodifikasi </w:t>
      </w:r>
      <w:r w:rsidR="0012527E" w:rsidRPr="0012527E">
        <w:rPr>
          <w:rFonts w:eastAsia="Bookman Old Style"/>
          <w:sz w:val="24"/>
          <w:szCs w:val="24"/>
        </w:rPr>
        <w:lastRenderedPageBreak/>
        <w:t>meliputi kebiasaan merokok, kurangnya aktivitas fisik, pola makan yang tidak sehat, dan konsumsi alkohol. Faktor-faktor tersebut dapat memicu perubahan fisiologis dalam tubuh, seperti peningkatan tekanan darah, kadar gula darah, kolesterol, dan obesitas. Perubahan ini, jika berlangsung dalam jangka waktu lama, akan berujung pada terjadinya PTM</w:t>
      </w:r>
      <w:r w:rsidR="0012527E" w:rsidRPr="0012527E">
        <w:rPr>
          <w:rFonts w:eastAsia="Bookman Old Style"/>
          <w:sz w:val="24"/>
          <w:szCs w:val="24"/>
        </w:rPr>
        <w:fldChar w:fldCharType="begin" w:fldLock="1"/>
      </w:r>
      <w:r w:rsidR="0012527E" w:rsidRPr="0012527E">
        <w:rPr>
          <w:rFonts w:eastAsia="Bookman Old Style"/>
          <w:sz w:val="24"/>
          <w:szCs w:val="24"/>
        </w:rPr>
        <w:instrText>ADDIN CSL_CITATION {"citationItems":[{"id":"ITEM-1","itemData":{"DOI":"10.30604/abdi.v3i3.369","ISSN":"2716-0912","abstract":"Penyakit Tidak Menular (PTM) adalah salah satu yang merupakan penyebab kematian di dunia. Indonesia merupakan salah satu Negara yang menghadapi masalah baik penyakit menular ataupun Penyakit Tidak Menular (PTM). Penyakit Tidak Menular (PTM) bertanggung jawab atas 71% kematian didunia. Secara global PTM mendominasi terhadap hilangnya tahun hidup karena ketidakmampuan beraktivitas hingga kematian. Adapun penyakit-penyakit tersebut seperti PJK (6,83%), diabetes (2,71%), asma (0,91%) dan hipertensi (0,66%) (World Health Organization, 2018). Jika masyarakat tahu akan deteksi dini penyakit tidak menular ini, maka upaya pencegahan terjadinya penyakit ini akan segera dilakukan (Rahayu, dkk., 2021). Hingga saat ini pelaksanaan Posbindu PTM belum dapat dikatakan maksimal pelaksanaannya di Indonesia terutama di Desa Bandung Rejo Kecamatan Boliyohuto Kabupaten Gorontalo Provinsi Gorontalo. Hasil Skrining PTM yang dilakukan pada 80 lansia, didapatkan bahwa terdapat lansia yang masih belum mengetahui kondisi kesehatannya, kadar kolesterol, asam urat, glukosa dan tekanan darah lansia belum pernah diperiksa. Lansia dengan indikasi penyakit hipertensi berjumlah 27 orang, kolesterol berjumlah 11 orang, asam urat berjumlah 35 orang dan diabetes berjumlah 10 orang. Sebelum dilakukan edukasi terdapat 4 (7,0%) lansia dengan kategori pengetahuan buruk, 15 (26,3%) lansia dengan kategori pengetahuan sangat kurang, 8 (14,0%) lansia dengan kategori pengetahuan kurang, 7 (12,3%) lansia dengan kategori pengetahuan cukup, 10 (17,5%) lansia dengan kategori pengetahuan baik dan 13 (22,8%) lansia dengan kategori pengetahuan sangat baik. Kemudian setelah dilakukan edukasi kesehatan, lansia dengan kategori pengetahuan sangat baik menjadi 46 (80,7%), hal ini menunjukkan adanya peningkatan pengetahuan lansia sebesar 57,9%. Peningkatan pengetahuan dan perilaku masyarakat dalam mengubah kebiasaan-kebiasaaan buruk dapat menurunkan angka penyakit tidak menular.","author":[{"dropping-particle":"","family":"Dulahu","given":"Wirda","non-dropping-particle":"","parse-names":false,"suffix":""},{"dropping-particle":"","family":"Suryaningsi","given":"Dewi","non-dropping-particle":"","parse-names":false,"suffix":""},{"dropping-particle":"","family":"Mursyidah","given":"Andi","non-dropping-particle":"","parse-names":false,"suffix":""}],"container-title":"Jurnal Pengabdian Kepada Masyarakat Ungu( ABDI KE UNGU)","id":"ITEM-1","issue":"3","issued":{"date-parts":[["2021"]]},"page":"111-120","title":"Deteksi Dini Dan Edukasi Penyakit Tidak Menular Dalam Upaya Mendukung Pencapaian Sdg’S Menuju Desa Sehat","type":"article-journal","volume":"3"},"uris":["http://www.mendeley.com/documents/?uuid=5bb37789-6dea-4a56-8edd-0c83d4b162dd"]}],"mendeley":{"formattedCitation":"(Dulahu et al., 2021)","plainTextFormattedCitation":"(Dulahu et al., 2021)","previouslyFormattedCitation":"(Dulahu et al., 2021)"},"properties":{"noteIndex":0},"schema":"https://github.com/citation-style-language/schema/raw/master/csl-citation.json"}</w:instrText>
      </w:r>
      <w:r w:rsidR="0012527E" w:rsidRPr="0012527E">
        <w:rPr>
          <w:rFonts w:eastAsia="Bookman Old Style"/>
          <w:sz w:val="24"/>
          <w:szCs w:val="24"/>
        </w:rPr>
        <w:fldChar w:fldCharType="separate"/>
      </w:r>
      <w:r w:rsidR="0012527E" w:rsidRPr="0012527E">
        <w:rPr>
          <w:rFonts w:eastAsia="Bookman Old Style"/>
          <w:noProof/>
          <w:sz w:val="24"/>
          <w:szCs w:val="24"/>
        </w:rPr>
        <w:t>(Dulahu et al., 2021)</w:t>
      </w:r>
      <w:r w:rsidR="0012527E" w:rsidRPr="0012527E">
        <w:rPr>
          <w:rFonts w:eastAsia="Bookman Old Style"/>
          <w:sz w:val="24"/>
          <w:szCs w:val="24"/>
        </w:rPr>
        <w:fldChar w:fldCharType="end"/>
      </w:r>
      <w:r w:rsidR="0012527E" w:rsidRPr="0012527E">
        <w:rPr>
          <w:rFonts w:eastAsia="Bookman Old Style"/>
          <w:sz w:val="24"/>
          <w:szCs w:val="24"/>
        </w:rPr>
        <w:t>.</w:t>
      </w:r>
    </w:p>
    <w:p w14:paraId="0076D5F9" w14:textId="03D5FCBF" w:rsidR="0012527E" w:rsidRPr="0012527E" w:rsidRDefault="00522077" w:rsidP="0012527E">
      <w:pPr>
        <w:pStyle w:val="ListParagraph"/>
        <w:spacing w:line="360" w:lineRule="auto"/>
        <w:ind w:firstLine="0"/>
        <w:jc w:val="both"/>
        <w:rPr>
          <w:rFonts w:eastAsia="Bookman Old Style"/>
          <w:sz w:val="24"/>
          <w:szCs w:val="24"/>
        </w:rPr>
      </w:pPr>
      <w:r>
        <w:rPr>
          <w:rFonts w:eastAsia="Bookman Old Style"/>
          <w:sz w:val="24"/>
          <w:szCs w:val="24"/>
        </w:rPr>
        <w:tab/>
      </w:r>
      <w:r w:rsidR="0012527E" w:rsidRPr="0012527E">
        <w:rPr>
          <w:rFonts w:eastAsia="Bookman Old Style"/>
          <w:sz w:val="24"/>
          <w:szCs w:val="24"/>
        </w:rPr>
        <w:t>Pemerintah telah melakukan berbagai upaya untuk menanggulangi Penyakit Tidak Menular (PTM) dengan menetapkan kebijakan yang mencakup peningkatan kualitas sarana dan prasarana hingga pelaksanaan monitoring dan evaluasi di lapangan. Namun, data dari Riset Kesehatan Dasar (Riskesdas) menunjukkan bahwa prevalensi PTM terus meningkat secara signifikan, menandakan bahwa risiko PTM belum mengalami perbaikan yang berarti. Selain itu, terdapat pergeseran penyebab kematian di Indonesia, di mana hampir setengahnya disebabkan oleh PTM. Saat ini, penanggulangan PTM lebih difokuskan pada peningkatan upaya kesehatan melalui pendekatan berbasis keluarga, dengan harapan dapat mendorong adopsi gaya hidup sehat dalam kehidupan sehari-hari</w:t>
      </w:r>
      <w:r w:rsidR="0012527E" w:rsidRPr="0012527E">
        <w:rPr>
          <w:rFonts w:eastAsia="Bookman Old Style"/>
          <w:sz w:val="24"/>
          <w:szCs w:val="24"/>
        </w:rPr>
        <w:fldChar w:fldCharType="begin" w:fldLock="1"/>
      </w:r>
      <w:r w:rsidR="0012527E" w:rsidRPr="0012527E">
        <w:rPr>
          <w:rFonts w:eastAsia="Bookman Old Style"/>
          <w:sz w:val="24"/>
          <w:szCs w:val="24"/>
        </w:rPr>
        <w:instrText>ADDIN CSL_CITATION {"citationItems":[{"id":"ITEM-1","itemData":{"author":[{"dropping-particle":"","family":"Studi","given":"Program","non-dropping-particle":"","parse-names":false,"suffix":""},{"dropping-particle":"","family":"Kesehatan","given":"Ilmu","non-dropping-particle":"","parse-names":false,"suffix":""},{"dropping-particle":"","family":"Universitas","given":"Pascasarjana","non-dropping-particle":"","parse-names":false,"suffix":""},{"dropping-particle":"","family":"Ratulangi","given":"Sam","non-dropping-particle":"","parse-names":false,"suffix":""}],"id":"ITEM-1","issue":"September","issued":{"date-parts":[["2024"]]},"page":"5887-5897","title":"Faktor-Faktor Risiko Yang Berhubungan Dengan Penyakit Tidak Menular Hipertensi Dan Diabetes Mellitus Pada Karyawan Pt . Samudra Mandiri Sentosa","type":"article-journal","volume":"5"},"uris":["http://www.mendeley.com/documents/?uuid=7a717eb7-0460-4504-beeb-40ab4ea2787b"]}],"mendeley":{"formattedCitation":"(Studi et al., 2024)","plainTextFormattedCitation":"(Studi et al., 2024)","previouslyFormattedCitation":"(Studi et al., 2024)"},"properties":{"noteIndex":0},"schema":"https://github.com/citation-style-language/schema/raw/master/csl-citation.json"}</w:instrText>
      </w:r>
      <w:r w:rsidR="0012527E" w:rsidRPr="0012527E">
        <w:rPr>
          <w:rFonts w:eastAsia="Bookman Old Style"/>
          <w:sz w:val="24"/>
          <w:szCs w:val="24"/>
        </w:rPr>
        <w:fldChar w:fldCharType="separate"/>
      </w:r>
      <w:r w:rsidR="0012527E" w:rsidRPr="0012527E">
        <w:rPr>
          <w:rFonts w:eastAsia="Bookman Old Style"/>
          <w:noProof/>
          <w:sz w:val="24"/>
          <w:szCs w:val="24"/>
        </w:rPr>
        <w:t>(Studi et al., 2024)</w:t>
      </w:r>
      <w:r w:rsidR="0012527E" w:rsidRPr="0012527E">
        <w:rPr>
          <w:rFonts w:eastAsia="Bookman Old Style"/>
          <w:sz w:val="24"/>
          <w:szCs w:val="24"/>
        </w:rPr>
        <w:fldChar w:fldCharType="end"/>
      </w:r>
      <w:r w:rsidR="0012527E" w:rsidRPr="0012527E">
        <w:rPr>
          <w:rFonts w:eastAsia="Bookman Old Style"/>
          <w:sz w:val="24"/>
          <w:szCs w:val="24"/>
        </w:rPr>
        <w:t>.</w:t>
      </w:r>
    </w:p>
    <w:p w14:paraId="1E0DCA72" w14:textId="434DD246" w:rsidR="00A45AED" w:rsidRPr="0012527E" w:rsidRDefault="00522077" w:rsidP="0012527E">
      <w:pPr>
        <w:pStyle w:val="ListParagraph"/>
        <w:spacing w:line="360" w:lineRule="auto"/>
        <w:ind w:firstLine="0"/>
        <w:jc w:val="both"/>
        <w:rPr>
          <w:rFonts w:eastAsia="Bookman Old Style"/>
          <w:sz w:val="20"/>
          <w:szCs w:val="20"/>
        </w:rPr>
      </w:pPr>
      <w:r>
        <w:rPr>
          <w:rFonts w:eastAsia="Bookman Old Style"/>
          <w:sz w:val="24"/>
          <w:szCs w:val="24"/>
        </w:rPr>
        <w:tab/>
      </w:r>
      <w:r w:rsidR="0012527E" w:rsidRPr="0012527E">
        <w:rPr>
          <w:rFonts w:eastAsia="Bookman Old Style"/>
          <w:sz w:val="24"/>
          <w:szCs w:val="24"/>
        </w:rPr>
        <w:t xml:space="preserve">Tujuan pelaksanaan kegiatan pengabdian ini yaitu dapat meningkatkan pemahaman masyarakat tentang Penyakit Tidak Menular dengan memberikan edukasi kepada masyarakat Desa Mongolato mengenai faktor risiko, pencegahan, dan pengelolaan PTM untuk meningkatkan kesadaran dan pengetahuan mereka. </w:t>
      </w:r>
      <w:bookmarkEnd w:id="0"/>
    </w:p>
    <w:p w14:paraId="121C33F6" w14:textId="77777777" w:rsidR="00A45AED" w:rsidRDefault="00752542" w:rsidP="005E1BC3">
      <w:pPr>
        <w:pStyle w:val="Heading1"/>
        <w:numPr>
          <w:ilvl w:val="0"/>
          <w:numId w:val="1"/>
        </w:numPr>
        <w:tabs>
          <w:tab w:val="left" w:pos="821"/>
        </w:tabs>
        <w:spacing w:line="360" w:lineRule="auto"/>
        <w:ind w:hanging="361"/>
      </w:pPr>
      <w:r>
        <w:t>MASALAH</w:t>
      </w:r>
    </w:p>
    <w:p w14:paraId="6D009AA8" w14:textId="1B88ABB0" w:rsidR="00A45AED" w:rsidRPr="005E1BC3" w:rsidRDefault="00522077" w:rsidP="005E1BC3">
      <w:pPr>
        <w:spacing w:before="36" w:line="360" w:lineRule="auto"/>
        <w:ind w:left="820" w:right="118"/>
        <w:jc w:val="both"/>
        <w:rPr>
          <w:sz w:val="24"/>
        </w:rPr>
      </w:pPr>
      <w:r>
        <w:rPr>
          <w:sz w:val="24"/>
        </w:rPr>
        <w:tab/>
      </w:r>
      <w:r w:rsidR="005E1BC3" w:rsidRPr="005E1BC3">
        <w:rPr>
          <w:sz w:val="24"/>
        </w:rPr>
        <w:t>Masyarakat Desa Mongolato, Kecamatan Telaga, menghadapi tantangan kesehatan yang berkaitan dengan kurangnya pemahaman terhadap Penyakit Tidak Menular (PTM), seperti hipertensi dan diabetes melitus. Rendahnya kesadaran akan faktor risiko, cara pencegahan, dan pengelolaan PTM membuat masyarakat cenderung mempertahankan pola hidup yang kurang sehat, seperti mengonsumsi makanan tinggi garam dan kurang berolahraga. Meskipun informasi kesehatan telah tersedia, kemauan masyarakat untuk mengakses dan memanfaatkannya masih rendah, sehingga risiko terjadinya komplikasi kesehatan tetap tinggi. Oleh karena itu, diperlukan upaya edukasi yang komprehensif untuk meningkatkan kesadaran masyarakat dan mendorong penerapan pola hidup sehat.</w:t>
      </w:r>
    </w:p>
    <w:p w14:paraId="4B3A1A96" w14:textId="77777777" w:rsidR="00A45AED" w:rsidRDefault="00752542" w:rsidP="0012527E">
      <w:pPr>
        <w:pStyle w:val="Heading1"/>
        <w:numPr>
          <w:ilvl w:val="0"/>
          <w:numId w:val="1"/>
        </w:numPr>
        <w:tabs>
          <w:tab w:val="left" w:pos="821"/>
        </w:tabs>
        <w:spacing w:before="0" w:after="240"/>
        <w:ind w:hanging="361"/>
      </w:pPr>
      <w:r>
        <w:t>METODE</w:t>
      </w:r>
    </w:p>
    <w:p w14:paraId="794745BA" w14:textId="652F33C3" w:rsidR="0012527E" w:rsidRPr="0012527E" w:rsidRDefault="00522077" w:rsidP="0012527E">
      <w:pPr>
        <w:spacing w:line="360" w:lineRule="auto"/>
        <w:ind w:left="851"/>
        <w:jc w:val="both"/>
        <w:rPr>
          <w:rFonts w:eastAsia="Bookman Old Style"/>
          <w:sz w:val="24"/>
          <w:szCs w:val="24"/>
        </w:rPr>
      </w:pPr>
      <w:bookmarkStart w:id="1" w:name="_Hlk187255920"/>
      <w:r>
        <w:rPr>
          <w:rFonts w:eastAsia="Bookman Old Style"/>
          <w:sz w:val="24"/>
          <w:szCs w:val="24"/>
        </w:rPr>
        <w:tab/>
      </w:r>
      <w:r w:rsidR="0012527E" w:rsidRPr="0012527E">
        <w:rPr>
          <w:rFonts w:eastAsia="Bookman Old Style"/>
          <w:sz w:val="24"/>
          <w:szCs w:val="24"/>
        </w:rPr>
        <w:t xml:space="preserve">Pengabdian kepada masyarakat ini dilakukan dengan pendekatan kuantitatif </w:t>
      </w:r>
      <w:r w:rsidR="0012527E" w:rsidRPr="0012527E">
        <w:rPr>
          <w:rFonts w:eastAsia="Bookman Old Style"/>
          <w:sz w:val="24"/>
          <w:szCs w:val="24"/>
        </w:rPr>
        <w:lastRenderedPageBreak/>
        <w:t>melalui desain pretest-posttest yang bertujuan untuk mengukur tingkat pemahaman responden. Kegiatan ini berlangsung di Desa Mongolato, Kecamatan Telaga, Kabupaten Gorontalo,</w:t>
      </w:r>
      <w:r w:rsidR="0012527E" w:rsidRPr="0012527E">
        <w:rPr>
          <w:sz w:val="24"/>
          <w:szCs w:val="24"/>
        </w:rPr>
        <w:t xml:space="preserve"> </w:t>
      </w:r>
      <w:r w:rsidR="0012527E" w:rsidRPr="0012527E">
        <w:rPr>
          <w:rFonts w:eastAsia="Bookman Old Style"/>
          <w:sz w:val="24"/>
          <w:szCs w:val="24"/>
        </w:rPr>
        <w:t>pada tanggal 24 hingga 26 Desember 2024. Sampel dalam kegiatan ini melibatkan masyarakat usia produktif (20-59 tahun) dan lansia (≥60 tahun) yang tinggal di Desa Mongolato, dengan total responden berjumlah 100 orang.</w:t>
      </w:r>
    </w:p>
    <w:p w14:paraId="3E4AEA2E" w14:textId="77777777" w:rsidR="0012527E" w:rsidRPr="0012527E" w:rsidRDefault="0012527E" w:rsidP="0012527E">
      <w:pPr>
        <w:spacing w:line="360" w:lineRule="auto"/>
        <w:ind w:left="851"/>
        <w:jc w:val="both"/>
        <w:rPr>
          <w:rFonts w:eastAsia="Bookman Old Style"/>
          <w:sz w:val="24"/>
          <w:szCs w:val="24"/>
        </w:rPr>
      </w:pPr>
      <w:r w:rsidRPr="0012527E">
        <w:rPr>
          <w:rFonts w:eastAsia="Bookman Old Style"/>
          <w:sz w:val="24"/>
          <w:szCs w:val="24"/>
        </w:rPr>
        <w:t>Tahapan pelaksanaan dimulai dengan meminta responden mengisi kuesioner pretest untuk menilai tingkat pemahaman awal mereka. Selanjutnya, dilakukan edukasi kesehatan yang disampaikan secara langsung menggunakan metode ceramah dan dialog interaktif. Selama sesi edukasi, dilakukan pemeriksaan tekanan darah menggunakan tensimeter dan pemeriksaan kadar gula darah menggunakan glukometer yang dilengkapi dengan strip uji. Pada tahap akhir, responden diminta kembali mengisi kuesioner posttest untuk mengevaluasi peningkatan pemahaman setelah mengikuti edukasi kesehatan.</w:t>
      </w:r>
    </w:p>
    <w:p w14:paraId="5B06B90E" w14:textId="5EE19BDA" w:rsidR="0012527E" w:rsidRPr="0012527E" w:rsidRDefault="00522077" w:rsidP="0012527E">
      <w:pPr>
        <w:spacing w:line="360" w:lineRule="auto"/>
        <w:ind w:left="851"/>
        <w:jc w:val="both"/>
        <w:rPr>
          <w:rFonts w:eastAsia="Bookman Old Style"/>
          <w:sz w:val="24"/>
          <w:szCs w:val="24"/>
        </w:rPr>
      </w:pPr>
      <w:r>
        <w:rPr>
          <w:rFonts w:eastAsia="Bookman Old Style"/>
          <w:sz w:val="24"/>
          <w:szCs w:val="24"/>
        </w:rPr>
        <w:tab/>
      </w:r>
      <w:r w:rsidR="0012527E" w:rsidRPr="0012527E">
        <w:rPr>
          <w:rFonts w:eastAsia="Bookman Old Style"/>
          <w:sz w:val="24"/>
          <w:szCs w:val="24"/>
        </w:rPr>
        <w:t xml:space="preserve">Data dari pretest dan posttest dianalisis untuk mengevaluasi efektivitas kegiatan. Hasil pemeriksaan tekanan darah dan gula darah juga dianalisis untuk memberikan gambaran tentang kondisi kesehatan masyarakat di Desa Mongolato. Metode ini dirancang untuk memberikan manfaat nyata melalui peningkatan pengetahuan, kesadaran, dan deteksi dini terkait pencegahan dan pengendalian penyakit tidak menular. </w:t>
      </w:r>
    </w:p>
    <w:bookmarkEnd w:id="1"/>
    <w:p w14:paraId="143F99A3" w14:textId="77777777" w:rsidR="00A45AED" w:rsidRDefault="00752542" w:rsidP="00444242">
      <w:pPr>
        <w:pStyle w:val="Heading1"/>
        <w:numPr>
          <w:ilvl w:val="0"/>
          <w:numId w:val="1"/>
        </w:numPr>
        <w:tabs>
          <w:tab w:val="left" w:pos="821"/>
        </w:tabs>
        <w:spacing w:before="64" w:line="360" w:lineRule="auto"/>
        <w:ind w:hanging="361"/>
      </w:pPr>
      <w:r>
        <w:t>HASIL DAN</w:t>
      </w:r>
      <w:r>
        <w:rPr>
          <w:spacing w:val="4"/>
        </w:rPr>
        <w:t xml:space="preserve"> </w:t>
      </w:r>
      <w:r>
        <w:t>PEMBAHASAN</w:t>
      </w:r>
    </w:p>
    <w:p w14:paraId="3270CABD" w14:textId="1024D623" w:rsidR="005E3461" w:rsidRPr="005E3461" w:rsidRDefault="00522077" w:rsidP="00444242">
      <w:pPr>
        <w:spacing w:line="360" w:lineRule="auto"/>
        <w:ind w:left="851"/>
        <w:jc w:val="both"/>
        <w:rPr>
          <w:rFonts w:eastAsia="Arial"/>
          <w:bCs/>
          <w:sz w:val="24"/>
          <w:szCs w:val="24"/>
        </w:rPr>
      </w:pPr>
      <w:r>
        <w:rPr>
          <w:rFonts w:eastAsia="Arial"/>
          <w:bCs/>
          <w:sz w:val="24"/>
          <w:szCs w:val="24"/>
        </w:rPr>
        <w:tab/>
      </w:r>
      <w:r w:rsidR="005E3461" w:rsidRPr="005E3461">
        <w:rPr>
          <w:rFonts w:eastAsia="Arial"/>
          <w:bCs/>
          <w:sz w:val="24"/>
          <w:szCs w:val="24"/>
        </w:rPr>
        <w:t>Pelaksanaan kegiatan edukasi dan skrining penyakit tidak menular di Desa Mongolato kecamatan telaga yang melibatkan 100 orang  terdiri dari 19 laki-laki dan 81 perempuan. Responden terbagi atas dua kelompok umur yaitu usia produktif sebanyak 77  orang dan lansia sebanyak 23 orang. Kegiatan ini dilakukan selama tiga hari pada tanggal 24 sampai 26 desember 2024.</w:t>
      </w:r>
    </w:p>
    <w:p w14:paraId="48044F4B" w14:textId="77777777" w:rsidR="00444242" w:rsidRPr="00C76769" w:rsidRDefault="005E3461" w:rsidP="005E3461">
      <w:pPr>
        <w:spacing w:line="360" w:lineRule="auto"/>
        <w:jc w:val="center"/>
        <w:rPr>
          <w:rFonts w:eastAsia="Arial"/>
          <w:bCs/>
          <w:sz w:val="24"/>
          <w:szCs w:val="24"/>
        </w:rPr>
      </w:pPr>
      <w:bookmarkStart w:id="2" w:name="_Hlk187315462"/>
      <w:r w:rsidRPr="00C76769">
        <w:rPr>
          <w:rFonts w:eastAsia="Arial"/>
          <w:bCs/>
          <w:i/>
          <w:iCs/>
          <w:sz w:val="24"/>
          <w:szCs w:val="24"/>
        </w:rPr>
        <w:t>Grafik 1</w:t>
      </w:r>
      <w:r w:rsidRPr="00C76769">
        <w:rPr>
          <w:rFonts w:eastAsia="Arial"/>
          <w:bCs/>
          <w:sz w:val="24"/>
          <w:szCs w:val="24"/>
        </w:rPr>
        <w:t xml:space="preserve">. Pengetahuan masyarakat terkait PTM </w:t>
      </w:r>
    </w:p>
    <w:p w14:paraId="41C18BB6" w14:textId="6F45135A" w:rsidR="005E3461" w:rsidRPr="00C76769" w:rsidRDefault="005E3461" w:rsidP="005E3461">
      <w:pPr>
        <w:spacing w:line="360" w:lineRule="auto"/>
        <w:jc w:val="center"/>
        <w:rPr>
          <w:rFonts w:eastAsia="Arial"/>
          <w:bCs/>
          <w:sz w:val="24"/>
          <w:szCs w:val="24"/>
        </w:rPr>
      </w:pPr>
      <w:r w:rsidRPr="00C76769">
        <w:rPr>
          <w:rFonts w:eastAsia="Arial"/>
          <w:bCs/>
          <w:sz w:val="24"/>
          <w:szCs w:val="24"/>
        </w:rPr>
        <w:t>sebelum dan sesudah di berikan edukasi</w:t>
      </w:r>
    </w:p>
    <w:bookmarkEnd w:id="2"/>
    <w:p w14:paraId="3365D478" w14:textId="7CB63C88" w:rsidR="005E3461" w:rsidRPr="005E3461" w:rsidRDefault="005E3461" w:rsidP="005E3461">
      <w:pPr>
        <w:pStyle w:val="BodyText"/>
        <w:spacing w:before="36" w:line="276" w:lineRule="auto"/>
        <w:ind w:left="851" w:right="121"/>
        <w:jc w:val="both"/>
        <w:rPr>
          <w:sz w:val="28"/>
          <w:szCs w:val="24"/>
        </w:rPr>
      </w:pPr>
      <w:r>
        <w:rPr>
          <w:noProof/>
        </w:rPr>
        <w:lastRenderedPageBreak/>
        <w:drawing>
          <wp:anchor distT="0" distB="0" distL="114300" distR="114300" simplePos="0" relativeHeight="251661312" behindDoc="0" locked="0" layoutInCell="1" allowOverlap="1" wp14:anchorId="39198BA0" wp14:editId="4D4CEDA1">
            <wp:simplePos x="0" y="0"/>
            <wp:positionH relativeFrom="column">
              <wp:posOffset>1177290</wp:posOffset>
            </wp:positionH>
            <wp:positionV relativeFrom="paragraph">
              <wp:posOffset>69215</wp:posOffset>
            </wp:positionV>
            <wp:extent cx="3409950" cy="2328545"/>
            <wp:effectExtent l="0" t="0" r="0" b="14605"/>
            <wp:wrapSquare wrapText="bothSides"/>
            <wp:docPr id="182611193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3CCB0FFB" w14:textId="77FAEEC4" w:rsidR="005E3461" w:rsidRDefault="005E3461">
      <w:pPr>
        <w:pStyle w:val="BodyText"/>
        <w:spacing w:before="36" w:line="276" w:lineRule="auto"/>
        <w:ind w:left="820" w:right="121"/>
        <w:jc w:val="both"/>
        <w:rPr>
          <w:sz w:val="24"/>
        </w:rPr>
      </w:pPr>
    </w:p>
    <w:p w14:paraId="263A6025" w14:textId="0512EE70" w:rsidR="005E3461" w:rsidRDefault="005E3461">
      <w:pPr>
        <w:pStyle w:val="BodyText"/>
        <w:spacing w:before="36" w:line="276" w:lineRule="auto"/>
        <w:ind w:left="820" w:right="121"/>
        <w:jc w:val="both"/>
        <w:rPr>
          <w:sz w:val="24"/>
        </w:rPr>
      </w:pPr>
    </w:p>
    <w:p w14:paraId="65B96C83" w14:textId="77777777" w:rsidR="005E3461" w:rsidRDefault="005E3461">
      <w:pPr>
        <w:pStyle w:val="BodyText"/>
        <w:spacing w:before="36" w:line="276" w:lineRule="auto"/>
        <w:ind w:left="820" w:right="121"/>
        <w:jc w:val="both"/>
        <w:rPr>
          <w:sz w:val="24"/>
        </w:rPr>
      </w:pPr>
    </w:p>
    <w:p w14:paraId="21411455" w14:textId="77777777" w:rsidR="005E3461" w:rsidRDefault="005E3461">
      <w:pPr>
        <w:pStyle w:val="BodyText"/>
        <w:spacing w:before="36" w:line="276" w:lineRule="auto"/>
        <w:ind w:left="820" w:right="121"/>
        <w:jc w:val="both"/>
        <w:rPr>
          <w:sz w:val="24"/>
        </w:rPr>
      </w:pPr>
    </w:p>
    <w:p w14:paraId="4E89F095" w14:textId="77777777" w:rsidR="005E3461" w:rsidRDefault="005E3461">
      <w:pPr>
        <w:pStyle w:val="BodyText"/>
        <w:spacing w:before="36" w:line="276" w:lineRule="auto"/>
        <w:ind w:left="820" w:right="121"/>
        <w:jc w:val="both"/>
        <w:rPr>
          <w:sz w:val="24"/>
        </w:rPr>
      </w:pPr>
    </w:p>
    <w:p w14:paraId="41699627" w14:textId="77777777" w:rsidR="005E3461" w:rsidRDefault="005E3461">
      <w:pPr>
        <w:pStyle w:val="BodyText"/>
        <w:spacing w:before="36" w:line="276" w:lineRule="auto"/>
        <w:ind w:left="820" w:right="121"/>
        <w:jc w:val="both"/>
        <w:rPr>
          <w:sz w:val="24"/>
        </w:rPr>
      </w:pPr>
    </w:p>
    <w:p w14:paraId="4F5847D1" w14:textId="77777777" w:rsidR="005E3461" w:rsidRDefault="005E3461">
      <w:pPr>
        <w:pStyle w:val="BodyText"/>
        <w:spacing w:before="36" w:line="276" w:lineRule="auto"/>
        <w:ind w:left="820" w:right="121"/>
        <w:jc w:val="both"/>
        <w:rPr>
          <w:sz w:val="24"/>
        </w:rPr>
      </w:pPr>
    </w:p>
    <w:p w14:paraId="36C43C51" w14:textId="77777777" w:rsidR="005E3461" w:rsidRDefault="005E3461">
      <w:pPr>
        <w:pStyle w:val="BodyText"/>
        <w:spacing w:before="36" w:line="276" w:lineRule="auto"/>
        <w:ind w:left="820" w:right="121"/>
        <w:jc w:val="both"/>
        <w:rPr>
          <w:sz w:val="24"/>
        </w:rPr>
      </w:pPr>
    </w:p>
    <w:p w14:paraId="4CAACC4A" w14:textId="77777777" w:rsidR="005E3461" w:rsidRDefault="005E3461">
      <w:pPr>
        <w:pStyle w:val="BodyText"/>
        <w:spacing w:before="36" w:line="276" w:lineRule="auto"/>
        <w:ind w:left="820" w:right="121"/>
        <w:jc w:val="both"/>
        <w:rPr>
          <w:sz w:val="24"/>
        </w:rPr>
      </w:pPr>
    </w:p>
    <w:p w14:paraId="4D31DB58" w14:textId="77777777" w:rsidR="00444242" w:rsidRDefault="00444242" w:rsidP="00444242">
      <w:pPr>
        <w:pStyle w:val="BodyText"/>
        <w:spacing w:before="36" w:line="276" w:lineRule="auto"/>
        <w:ind w:right="121"/>
        <w:jc w:val="both"/>
        <w:rPr>
          <w:sz w:val="24"/>
        </w:rPr>
      </w:pPr>
    </w:p>
    <w:p w14:paraId="7AFFC7F4" w14:textId="7037AB51" w:rsidR="00444242" w:rsidRPr="00444242" w:rsidRDefault="00522077" w:rsidP="00444242">
      <w:pPr>
        <w:spacing w:line="360" w:lineRule="auto"/>
        <w:ind w:left="851"/>
        <w:jc w:val="both"/>
        <w:rPr>
          <w:sz w:val="24"/>
          <w:szCs w:val="24"/>
        </w:rPr>
      </w:pPr>
      <w:r>
        <w:rPr>
          <w:sz w:val="24"/>
          <w:szCs w:val="24"/>
        </w:rPr>
        <w:tab/>
      </w:r>
      <w:r w:rsidR="00444242" w:rsidRPr="00444242">
        <w:rPr>
          <w:sz w:val="24"/>
          <w:szCs w:val="24"/>
        </w:rPr>
        <w:t xml:space="preserve">Berdasarkan hasil kegiatan bahwa terdapat peningkatan pemahaman masyarakat tentang penyakit tidak menular setelah diberikan edukasi. Hal ini di buktikan dengan hasil pretest yang menunjukan peningkatan rata-rata nilai dari 59% sebelum diberikan edukasi menjadi 79% setelah diberikan edukasi. </w:t>
      </w:r>
    </w:p>
    <w:p w14:paraId="51AFF3EA" w14:textId="22B441E2" w:rsidR="00444242" w:rsidRPr="00444242" w:rsidRDefault="00522077" w:rsidP="00444242">
      <w:pPr>
        <w:spacing w:line="360" w:lineRule="auto"/>
        <w:ind w:left="851"/>
        <w:jc w:val="both"/>
        <w:rPr>
          <w:sz w:val="24"/>
          <w:szCs w:val="24"/>
        </w:rPr>
      </w:pPr>
      <w:r>
        <w:rPr>
          <w:sz w:val="24"/>
          <w:szCs w:val="24"/>
        </w:rPr>
        <w:tab/>
      </w:r>
      <w:r w:rsidR="00444242" w:rsidRPr="00444242">
        <w:rPr>
          <w:sz w:val="24"/>
          <w:szCs w:val="24"/>
        </w:rPr>
        <w:t>Peningkatan nilai pretest dan posttest menunjukan keberhasilan kegiatan edukasi kesehatan yang terlihat pada grafik 1. Sebelum diberikan edukasi nilai pretest masyarakat tentang penyakit tidak menular relatif rendah. Dengan adanya kegiatan edukasi kesehatan, terjadi peningkatan pemahaman masyarakat tentang penyakit tidak menular sebesar 20% dari nilai awal.</w:t>
      </w:r>
    </w:p>
    <w:p w14:paraId="662D3D29" w14:textId="78502D86" w:rsidR="00444242" w:rsidRDefault="00522077" w:rsidP="00444242">
      <w:pPr>
        <w:spacing w:line="360" w:lineRule="auto"/>
        <w:ind w:left="851"/>
        <w:jc w:val="both"/>
        <w:rPr>
          <w:sz w:val="24"/>
          <w:szCs w:val="24"/>
        </w:rPr>
      </w:pPr>
      <w:r>
        <w:rPr>
          <w:sz w:val="24"/>
          <w:szCs w:val="24"/>
        </w:rPr>
        <w:tab/>
      </w:r>
      <w:r w:rsidR="00444242" w:rsidRPr="00444242">
        <w:rPr>
          <w:sz w:val="24"/>
          <w:szCs w:val="24"/>
        </w:rPr>
        <w:t xml:space="preserve">Pengetahuan adalah hasil dari proses penginderaan manusia atau pemahaman seseorang terhadap objek melalui indera yang dimilikinya, seperti mata, hidung, telinga, dan sebagainya. Sementara itu, Penyakit Tidak Menular (PTM) adalah kondisi medis atau penyakit yang tidak disebabkan oleh infeksi dan tidak dapat menular antar individu. PTM merupakan penyakit yang memiliki durasi yang panjang, berkembang secara perlahan, dan dapat berisiko menyebabkan kematian secara mendadak </w:t>
      </w:r>
      <w:r w:rsidR="00444242" w:rsidRPr="00444242">
        <w:rPr>
          <w:sz w:val="24"/>
          <w:szCs w:val="24"/>
        </w:rPr>
        <w:fldChar w:fldCharType="begin" w:fldLock="1"/>
      </w:r>
      <w:r w:rsidR="00444242" w:rsidRPr="00444242">
        <w:rPr>
          <w:sz w:val="24"/>
          <w:szCs w:val="24"/>
        </w:rPr>
        <w:instrText>ADDIN CSL_CITATION {"citationItems":[{"id":"ITEM-1","itemData":{"DOI":"10.53860/losari.v4i2.108","ISSN":"2684-9887","abstract":"Penyakit tidak menular (PTM) berdampak luas terhadap kesehatan dan sosial ekonomi, dan salah satu diantaranya adalah masalah biaya perawatan yang lebih tinggi. Selain itu PTM menjadi salah satu penyebab kematian terbanyak di dunia. Beberapa penyakit tidak menular yang menjadi penyebab kematian secara global diantaranya adalah diabetes mellitus, penyakit kardiovaskuler, kanker, dan penyakit pernafasan kronis. Menurut WHO PTM menjadi penyebab utama kematian di dunia, dimana pada tahun 2016 sebanyak 71% kematian disebabkan oleh penyakit tidak menular. Berdasarkan jenis penyakit penyebab kematian diantaranya adalah penyakit kardiovaskuler (31%), kanker (16%), penyakit pernafasan kronik (7%) dan diabetes mellitus (3%)(WHO, 2018). Data WHO juga menunjukan bahwa angka kematian akibat penyakit tidak menular di wilayah Asia Tenggara cukup tinggi yaitu sekitar 23% jika dibandingkan dengan negara eropa (17%) dan amerika (15%) Metode: Metode pengabdian kepada masyarakat ini dilakukan dalam bentuk pemberian pendidikan kesehatan tentang penyakit tidak menular dengan cara Ceramah dan membagikan leflet setelah itu dilanjutkan dengan tanya jawab dan diskusi.. Simpulan: dari hasil pengabdian dapat disimpulkan bahwa Pendidikan Kesehatan dengan metode  ceramah dan membagikan leflet dapat meningkatkan pengetahuan masyarakat tentang penyakit tidak menular, sehingga masyarakat diharapkan mampu melakukan pencegahan dan penanganan terhadap PTM itu sendiri.","author":[{"dropping-particle":"","family":"Purqoti","given":"Dewi Nur","non-dropping-particle":"","parse-names":false,"suffix":""},{"dropping-particle":"","family":"Baiq Rulli Fatmawati","given":"","non-dropping-particle":"","parse-names":false,"suffix":""},{"dropping-particle":"","family":"Zaenal arifin","given":"","non-dropping-particle":"","parse-names":false,"suffix":""},{"dropping-particle":"","family":"Ilham","given":"","non-dropping-particle":"","parse-names":false,"suffix":""},{"dropping-particle":"","family":"Zuliardi","given":"","non-dropping-particle":"","parse-names":false,"suffix":""},{"dropping-particle":"","family":"Harlina putri Rusiana","given":"","non-dropping-particle":"","parse-names":false,"suffix":""}],"container-title":"LOSARI: Jurnal Pengabdian Kepada Masyarakat","id":"ITEM-1","issue":"2","issued":{"date-parts":[["2022"]]},"page":"99-104","title":"Peningkatan Pengetahuan Penyakit Tidak Menular (PTM) Pada Masyarakat Resiko Tinggi Melalui Pendidikan Kesehatan","type":"article-journal","volume":"4"},"uris":["http://www.mendeley.com/documents/?uuid=0fb70078-bc33-412d-a35e-8058db84c058"]}],"mendeley":{"formattedCitation":"(Purqoti et al., 2022)","plainTextFormattedCitation":"(Purqoti et al., 2022)","previouslyFormattedCitation":"(Purqoti et al., 2022)"},"properties":{"noteIndex":0},"schema":"https://github.com/citation-style-language/schema/raw/master/csl-citation.json"}</w:instrText>
      </w:r>
      <w:r w:rsidR="00444242" w:rsidRPr="00444242">
        <w:rPr>
          <w:sz w:val="24"/>
          <w:szCs w:val="24"/>
        </w:rPr>
        <w:fldChar w:fldCharType="separate"/>
      </w:r>
      <w:r w:rsidR="00444242" w:rsidRPr="00444242">
        <w:rPr>
          <w:noProof/>
          <w:sz w:val="24"/>
          <w:szCs w:val="24"/>
        </w:rPr>
        <w:t>(Purqoti et al., 2022)</w:t>
      </w:r>
      <w:r w:rsidR="00444242" w:rsidRPr="00444242">
        <w:rPr>
          <w:sz w:val="24"/>
          <w:szCs w:val="24"/>
        </w:rPr>
        <w:fldChar w:fldCharType="end"/>
      </w:r>
      <w:r w:rsidR="00444242" w:rsidRPr="00444242">
        <w:rPr>
          <w:sz w:val="24"/>
          <w:szCs w:val="24"/>
        </w:rPr>
        <w:t xml:space="preserve">. Salah satu faktor internal yang mempengaruhi tingkat pengetahuan seseorang adalah tingkat pendidikan. Semakin tinggi tingkat pendidikan seseorang, semakin tinggi pula tingkat pengetahuannya </w:t>
      </w:r>
      <w:r w:rsidR="00444242" w:rsidRPr="00444242">
        <w:rPr>
          <w:sz w:val="24"/>
          <w:szCs w:val="24"/>
        </w:rPr>
        <w:fldChar w:fldCharType="begin" w:fldLock="1"/>
      </w:r>
      <w:r w:rsidR="00444242" w:rsidRPr="00444242">
        <w:rPr>
          <w:sz w:val="24"/>
          <w:szCs w:val="24"/>
        </w:rPr>
        <w:instrText>ADDIN CSL_CITATION {"citationItems":[{"id":"ITEM-1","itemData":{"DOI":"10.14421/lijid.v3i1.2224","ISSN":"2621-6582","abstract":"Information transmission takes an important role in overcoming the covid-19 pandemic. This role is carried out by various parties, including religious leaders. Religious leaders who have charismatic figures, have a special powers that can influence many actions of the people who become their communities. Messages which delivered by religious leaders have a tendency to be followed both the substance of good and bad messages. Therefore, this study aims to explore the responses of religious leaders in online media. To achieve this goal, this research uses descriptive-analysis method by Anthony Giddens about structuration approach. This paper concludes that a role of religious leaders in dealing with covid-19 plays the role as a shock absorber to other people (motivator), the pandemic information mouthpiece (communicator), and the role model (idol). Their role of religious leaders in preventing covid-19 increasingly strengthens a social hierarchy it has in patron-client relations. This form of relationship makes religious leaders to maximize their potential charismatic leadership. It makes our research further strengthen other research on an influence of religious leaders in the formation of social action.","author":[{"dropping-particle":"","family":"Nurul Aula","given":"Siti Khodijah","non-dropping-particle":"","parse-names":false,"suffix":""}],"container-title":"Living Islam: Journal of Islamic Discourses","id":"ITEM-1","issue":"1","issued":{"date-parts":[["2020"]]},"page":"125","title":"Peran Tokoh Agama Dalam Memutus Rantai Pandemi Covid-19 Di Media Online Indonesia","type":"article-journal","volume":"3"},"uris":["http://www.mendeley.com/documents/?uuid=afc89623-1ac9-48c9-8433-6afbce0a1bd5"]}],"mendeley":{"formattedCitation":"(Nurul Aula, 2020)","plainTextFormattedCitation":"(Nurul Aula, 2020)","previouslyFormattedCitation":"(Nurul Aula, 2020)"},"properties":{"noteIndex":0},"schema":"https://github.com/citation-style-language/schema/raw/master/csl-citation.json"}</w:instrText>
      </w:r>
      <w:r w:rsidR="00444242" w:rsidRPr="00444242">
        <w:rPr>
          <w:sz w:val="24"/>
          <w:szCs w:val="24"/>
        </w:rPr>
        <w:fldChar w:fldCharType="separate"/>
      </w:r>
      <w:r w:rsidR="00444242" w:rsidRPr="00444242">
        <w:rPr>
          <w:noProof/>
          <w:sz w:val="24"/>
          <w:szCs w:val="24"/>
        </w:rPr>
        <w:t>(Nurul Aula, 2020)</w:t>
      </w:r>
      <w:r w:rsidR="00444242" w:rsidRPr="00444242">
        <w:rPr>
          <w:sz w:val="24"/>
          <w:szCs w:val="24"/>
        </w:rPr>
        <w:fldChar w:fldCharType="end"/>
      </w:r>
      <w:r w:rsidR="00444242">
        <w:rPr>
          <w:sz w:val="24"/>
          <w:szCs w:val="24"/>
        </w:rPr>
        <w:t>.</w:t>
      </w:r>
    </w:p>
    <w:p w14:paraId="70C7EA4B" w14:textId="77777777" w:rsidR="009F3736" w:rsidRPr="009F3736" w:rsidRDefault="00444242" w:rsidP="009F3736">
      <w:pPr>
        <w:spacing w:before="240"/>
        <w:jc w:val="center"/>
        <w:rPr>
          <w:rFonts w:eastAsia="Arial"/>
          <w:bCs/>
          <w:sz w:val="24"/>
          <w:szCs w:val="24"/>
        </w:rPr>
      </w:pPr>
      <w:bookmarkStart w:id="3" w:name="_Hlk187315121"/>
      <w:r w:rsidRPr="00EE6760">
        <w:rPr>
          <w:rFonts w:eastAsia="Arial"/>
          <w:bCs/>
          <w:i/>
          <w:iCs/>
        </w:rPr>
        <w:t>Tabel 1.</w:t>
      </w:r>
      <w:r>
        <w:rPr>
          <w:rFonts w:ascii="Arial" w:eastAsia="Arial" w:hAnsi="Arial" w:cs="Arial"/>
          <w:bCs/>
          <w:i/>
          <w:iCs/>
        </w:rPr>
        <w:t xml:space="preserve"> </w:t>
      </w:r>
      <w:r w:rsidRPr="007F127C">
        <w:rPr>
          <w:rFonts w:ascii="Arial" w:eastAsia="Arial" w:hAnsi="Arial" w:cs="Arial"/>
          <w:bCs/>
        </w:rPr>
        <w:t xml:space="preserve"> </w:t>
      </w:r>
      <w:r w:rsidRPr="009F3736">
        <w:rPr>
          <w:rFonts w:eastAsia="Arial"/>
          <w:bCs/>
          <w:sz w:val="24"/>
          <w:szCs w:val="24"/>
        </w:rPr>
        <w:t>Hasil pemeriksaan</w:t>
      </w:r>
      <w:r w:rsidR="009F3736" w:rsidRPr="009F3736">
        <w:rPr>
          <w:rFonts w:eastAsia="Arial"/>
          <w:bCs/>
          <w:sz w:val="24"/>
          <w:szCs w:val="24"/>
        </w:rPr>
        <w:t xml:space="preserve"> tekanan darah</w:t>
      </w:r>
      <w:r w:rsidRPr="009F3736">
        <w:rPr>
          <w:rFonts w:eastAsia="Arial"/>
          <w:bCs/>
          <w:sz w:val="24"/>
          <w:szCs w:val="24"/>
        </w:rPr>
        <w:t xml:space="preserve"> </w:t>
      </w:r>
      <w:r w:rsidR="009F3736" w:rsidRPr="009F3736">
        <w:rPr>
          <w:rFonts w:eastAsia="Arial"/>
          <w:bCs/>
          <w:sz w:val="24"/>
          <w:szCs w:val="24"/>
        </w:rPr>
        <w:t>dan gula</w:t>
      </w:r>
    </w:p>
    <w:p w14:paraId="0F412B9C" w14:textId="7D4E981F" w:rsidR="009F3736" w:rsidRPr="009F3736" w:rsidRDefault="009F3736" w:rsidP="009F3736">
      <w:pPr>
        <w:spacing w:before="240"/>
        <w:jc w:val="center"/>
        <w:rPr>
          <w:rFonts w:eastAsia="Arial"/>
          <w:bCs/>
          <w:sz w:val="24"/>
          <w:szCs w:val="24"/>
        </w:rPr>
      </w:pPr>
      <w:r w:rsidRPr="009F3736">
        <w:rPr>
          <w:rFonts w:eastAsia="Arial"/>
          <w:bCs/>
          <w:sz w:val="24"/>
          <w:szCs w:val="24"/>
        </w:rPr>
        <w:t xml:space="preserve"> darah </w:t>
      </w:r>
      <w:r w:rsidR="00444242" w:rsidRPr="009F3736">
        <w:rPr>
          <w:rFonts w:eastAsia="Arial"/>
          <w:bCs/>
          <w:sz w:val="24"/>
          <w:szCs w:val="24"/>
        </w:rPr>
        <w:t>peserta kegiatan</w:t>
      </w:r>
    </w:p>
    <w:tbl>
      <w:tblPr>
        <w:tblpPr w:leftFromText="180" w:rightFromText="180" w:vertAnchor="text" w:horzAnchor="margin" w:tblpXSpec="center" w:tblpY="135"/>
        <w:tblW w:w="5797"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1806"/>
        <w:gridCol w:w="1582"/>
        <w:gridCol w:w="1128"/>
        <w:gridCol w:w="1281"/>
      </w:tblGrid>
      <w:tr w:rsidR="00444242" w14:paraId="5F05BEEC" w14:textId="77777777" w:rsidTr="009F3736">
        <w:trPr>
          <w:trHeight w:val="187"/>
        </w:trPr>
        <w:tc>
          <w:tcPr>
            <w:tcW w:w="1806" w:type="dxa"/>
            <w:vMerge w:val="restart"/>
            <w:vAlign w:val="center"/>
          </w:tcPr>
          <w:p w14:paraId="623AAB71" w14:textId="77777777" w:rsidR="00444242" w:rsidRPr="007F127C" w:rsidRDefault="00444242" w:rsidP="009F3736">
            <w:pPr>
              <w:jc w:val="center"/>
              <w:rPr>
                <w:rFonts w:ascii="Arial" w:eastAsia="Bookman Old Style" w:hAnsi="Arial" w:cs="Arial"/>
              </w:rPr>
            </w:pPr>
            <w:r w:rsidRPr="007F127C">
              <w:rPr>
                <w:rFonts w:ascii="Arial" w:hAnsi="Arial" w:cs="Arial"/>
                <w:color w:val="000000"/>
              </w:rPr>
              <w:t>Skrining</w:t>
            </w:r>
          </w:p>
        </w:tc>
        <w:tc>
          <w:tcPr>
            <w:tcW w:w="2710" w:type="dxa"/>
            <w:gridSpan w:val="2"/>
          </w:tcPr>
          <w:p w14:paraId="7FCFF825" w14:textId="77777777" w:rsidR="00444242" w:rsidRPr="007F127C" w:rsidRDefault="00444242" w:rsidP="009F3736">
            <w:pPr>
              <w:jc w:val="center"/>
              <w:rPr>
                <w:rFonts w:ascii="Arial" w:eastAsia="Bookman Old Style" w:hAnsi="Arial" w:cs="Arial"/>
              </w:rPr>
            </w:pPr>
            <w:r w:rsidRPr="007F127C">
              <w:rPr>
                <w:rFonts w:ascii="Arial" w:hAnsi="Arial" w:cs="Arial"/>
                <w:color w:val="000000"/>
              </w:rPr>
              <w:t>Usia</w:t>
            </w:r>
          </w:p>
        </w:tc>
        <w:tc>
          <w:tcPr>
            <w:tcW w:w="1281" w:type="dxa"/>
            <w:vMerge w:val="restart"/>
          </w:tcPr>
          <w:p w14:paraId="686FAB6F" w14:textId="77777777" w:rsidR="00444242" w:rsidRDefault="00444242" w:rsidP="009F3736">
            <w:pPr>
              <w:jc w:val="center"/>
              <w:rPr>
                <w:rFonts w:ascii="Arial" w:hAnsi="Arial" w:cs="Arial"/>
                <w:color w:val="000000"/>
              </w:rPr>
            </w:pPr>
          </w:p>
          <w:p w14:paraId="1F10B53E" w14:textId="77777777" w:rsidR="00444242" w:rsidRPr="007F127C" w:rsidRDefault="00444242" w:rsidP="009F3736">
            <w:pPr>
              <w:jc w:val="center"/>
              <w:rPr>
                <w:rFonts w:ascii="Arial" w:hAnsi="Arial" w:cs="Arial"/>
                <w:color w:val="000000"/>
              </w:rPr>
            </w:pPr>
            <w:r>
              <w:rPr>
                <w:rFonts w:ascii="Arial" w:hAnsi="Arial" w:cs="Arial"/>
                <w:color w:val="000000"/>
              </w:rPr>
              <w:t>Total</w:t>
            </w:r>
          </w:p>
        </w:tc>
      </w:tr>
      <w:tr w:rsidR="00444242" w14:paraId="178B851A" w14:textId="77777777" w:rsidTr="009F3736">
        <w:trPr>
          <w:trHeight w:val="99"/>
        </w:trPr>
        <w:tc>
          <w:tcPr>
            <w:tcW w:w="1806" w:type="dxa"/>
            <w:vMerge/>
            <w:tcBorders>
              <w:bottom w:val="single" w:sz="4" w:space="0" w:color="000000"/>
            </w:tcBorders>
            <w:vAlign w:val="center"/>
          </w:tcPr>
          <w:p w14:paraId="7A7A54CC" w14:textId="77777777" w:rsidR="00444242" w:rsidRPr="007F127C" w:rsidRDefault="00444242" w:rsidP="009F3736">
            <w:pPr>
              <w:pBdr>
                <w:top w:val="nil"/>
                <w:left w:val="nil"/>
                <w:bottom w:val="nil"/>
                <w:right w:val="nil"/>
                <w:between w:val="nil"/>
              </w:pBdr>
              <w:spacing w:line="276" w:lineRule="auto"/>
              <w:rPr>
                <w:rFonts w:ascii="Arial" w:eastAsia="Bookman Old Style" w:hAnsi="Arial" w:cs="Arial"/>
              </w:rPr>
            </w:pPr>
          </w:p>
        </w:tc>
        <w:tc>
          <w:tcPr>
            <w:tcW w:w="1582" w:type="dxa"/>
            <w:tcBorders>
              <w:bottom w:val="single" w:sz="4" w:space="0" w:color="000000"/>
            </w:tcBorders>
            <w:vAlign w:val="center"/>
          </w:tcPr>
          <w:p w14:paraId="421419FC" w14:textId="77777777" w:rsidR="00444242" w:rsidRPr="007F127C" w:rsidRDefault="00444242" w:rsidP="009F3736">
            <w:pPr>
              <w:jc w:val="center"/>
              <w:rPr>
                <w:rFonts w:ascii="Arial" w:hAnsi="Arial" w:cs="Arial"/>
                <w:color w:val="000000"/>
              </w:rPr>
            </w:pPr>
            <w:r w:rsidRPr="007F127C">
              <w:rPr>
                <w:rFonts w:ascii="Arial" w:hAnsi="Arial" w:cs="Arial"/>
                <w:color w:val="000000"/>
              </w:rPr>
              <w:t>Produktif</w:t>
            </w:r>
          </w:p>
        </w:tc>
        <w:tc>
          <w:tcPr>
            <w:tcW w:w="1127" w:type="dxa"/>
            <w:tcBorders>
              <w:bottom w:val="single" w:sz="4" w:space="0" w:color="000000"/>
            </w:tcBorders>
            <w:vAlign w:val="bottom"/>
          </w:tcPr>
          <w:p w14:paraId="1835A666" w14:textId="77777777" w:rsidR="00444242" w:rsidRPr="007F127C" w:rsidRDefault="00444242" w:rsidP="009F3736">
            <w:pPr>
              <w:jc w:val="center"/>
              <w:rPr>
                <w:rFonts w:ascii="Arial" w:hAnsi="Arial" w:cs="Arial"/>
                <w:color w:val="000000"/>
              </w:rPr>
            </w:pPr>
            <w:r w:rsidRPr="007F127C">
              <w:rPr>
                <w:rFonts w:ascii="Arial" w:hAnsi="Arial" w:cs="Arial"/>
                <w:color w:val="000000"/>
              </w:rPr>
              <w:t>Lansia</w:t>
            </w:r>
          </w:p>
        </w:tc>
        <w:tc>
          <w:tcPr>
            <w:tcW w:w="1281" w:type="dxa"/>
            <w:vMerge/>
            <w:tcBorders>
              <w:bottom w:val="single" w:sz="4" w:space="0" w:color="000000"/>
            </w:tcBorders>
          </w:tcPr>
          <w:p w14:paraId="5D3D6654" w14:textId="77777777" w:rsidR="00444242" w:rsidRPr="007F127C" w:rsidRDefault="00444242" w:rsidP="009F3736">
            <w:pPr>
              <w:jc w:val="center"/>
              <w:rPr>
                <w:rFonts w:ascii="Arial" w:hAnsi="Arial" w:cs="Arial"/>
                <w:color w:val="000000"/>
              </w:rPr>
            </w:pPr>
          </w:p>
        </w:tc>
      </w:tr>
      <w:tr w:rsidR="00444242" w14:paraId="48A0128E" w14:textId="77777777" w:rsidTr="009F3736">
        <w:trPr>
          <w:trHeight w:val="1285"/>
        </w:trPr>
        <w:tc>
          <w:tcPr>
            <w:tcW w:w="1806" w:type="dxa"/>
            <w:tcBorders>
              <w:bottom w:val="single" w:sz="4" w:space="0" w:color="auto"/>
            </w:tcBorders>
            <w:vAlign w:val="bottom"/>
          </w:tcPr>
          <w:p w14:paraId="5E7DEF17" w14:textId="77777777" w:rsidR="00444242" w:rsidRPr="007F127C" w:rsidRDefault="00444242" w:rsidP="009F3736">
            <w:pPr>
              <w:ind w:left="-105"/>
              <w:rPr>
                <w:rFonts w:ascii="Arial" w:hAnsi="Arial" w:cs="Arial"/>
                <w:color w:val="000000"/>
              </w:rPr>
            </w:pPr>
            <w:r w:rsidRPr="007F127C">
              <w:rPr>
                <w:rFonts w:ascii="Arial" w:hAnsi="Arial" w:cs="Arial"/>
                <w:color w:val="000000"/>
              </w:rPr>
              <w:lastRenderedPageBreak/>
              <w:t>Tekanan Darah</w:t>
            </w:r>
          </w:p>
          <w:p w14:paraId="204A2B7C" w14:textId="77777777" w:rsidR="00444242" w:rsidRPr="007F127C" w:rsidRDefault="00444242" w:rsidP="009F3736">
            <w:pPr>
              <w:ind w:left="37"/>
              <w:rPr>
                <w:rFonts w:ascii="Arial" w:hAnsi="Arial" w:cs="Arial"/>
                <w:color w:val="000000"/>
              </w:rPr>
            </w:pPr>
            <w:r w:rsidRPr="007F127C">
              <w:rPr>
                <w:rFonts w:ascii="Arial" w:hAnsi="Arial" w:cs="Arial"/>
                <w:color w:val="000000"/>
              </w:rPr>
              <w:t>Normal</w:t>
            </w:r>
          </w:p>
          <w:p w14:paraId="5872FDA0" w14:textId="77777777" w:rsidR="00444242" w:rsidRPr="007F127C" w:rsidRDefault="00444242" w:rsidP="009F3736">
            <w:pPr>
              <w:ind w:left="37"/>
              <w:rPr>
                <w:rFonts w:ascii="Arial" w:hAnsi="Arial" w:cs="Arial"/>
                <w:color w:val="000000"/>
              </w:rPr>
            </w:pPr>
            <w:r w:rsidRPr="007F127C">
              <w:rPr>
                <w:rFonts w:ascii="Arial" w:hAnsi="Arial" w:cs="Arial"/>
                <w:color w:val="000000"/>
              </w:rPr>
              <w:t>Rendah</w:t>
            </w:r>
          </w:p>
          <w:p w14:paraId="4E78CB33" w14:textId="77777777" w:rsidR="00444242" w:rsidRPr="007F127C" w:rsidRDefault="00444242" w:rsidP="009F3736">
            <w:pPr>
              <w:ind w:left="37"/>
              <w:rPr>
                <w:rFonts w:ascii="Arial" w:hAnsi="Arial" w:cs="Arial"/>
                <w:color w:val="000000"/>
              </w:rPr>
            </w:pPr>
            <w:r w:rsidRPr="007F127C">
              <w:rPr>
                <w:rFonts w:ascii="Arial" w:hAnsi="Arial" w:cs="Arial"/>
                <w:color w:val="000000"/>
              </w:rPr>
              <w:t xml:space="preserve">Tinggi </w:t>
            </w:r>
          </w:p>
        </w:tc>
        <w:tc>
          <w:tcPr>
            <w:tcW w:w="1582" w:type="dxa"/>
            <w:tcBorders>
              <w:bottom w:val="single" w:sz="4" w:space="0" w:color="auto"/>
            </w:tcBorders>
            <w:vAlign w:val="bottom"/>
          </w:tcPr>
          <w:p w14:paraId="0B1848D5" w14:textId="77777777" w:rsidR="00444242" w:rsidRPr="007F127C" w:rsidRDefault="00444242" w:rsidP="009F3736">
            <w:pPr>
              <w:jc w:val="center"/>
              <w:rPr>
                <w:rFonts w:ascii="Arial" w:hAnsi="Arial" w:cs="Arial"/>
                <w:color w:val="000000"/>
              </w:rPr>
            </w:pPr>
            <w:r>
              <w:rPr>
                <w:rFonts w:ascii="Arial" w:hAnsi="Arial" w:cs="Arial"/>
                <w:color w:val="000000"/>
              </w:rPr>
              <w:t>32</w:t>
            </w:r>
          </w:p>
          <w:p w14:paraId="3DAEDD09" w14:textId="77777777" w:rsidR="00444242" w:rsidRPr="007F127C" w:rsidRDefault="00444242" w:rsidP="009F3736">
            <w:pPr>
              <w:jc w:val="center"/>
              <w:rPr>
                <w:rFonts w:ascii="Arial" w:hAnsi="Arial" w:cs="Arial"/>
                <w:color w:val="000000"/>
              </w:rPr>
            </w:pPr>
            <w:r>
              <w:rPr>
                <w:rFonts w:ascii="Arial" w:hAnsi="Arial" w:cs="Arial"/>
                <w:color w:val="000000"/>
              </w:rPr>
              <w:t>3</w:t>
            </w:r>
          </w:p>
          <w:p w14:paraId="78626AF2" w14:textId="77777777" w:rsidR="00444242" w:rsidRPr="007F127C" w:rsidRDefault="00444242" w:rsidP="009F3736">
            <w:pPr>
              <w:jc w:val="center"/>
              <w:rPr>
                <w:rFonts w:ascii="Arial" w:hAnsi="Arial" w:cs="Arial"/>
                <w:color w:val="000000"/>
              </w:rPr>
            </w:pPr>
            <w:r>
              <w:rPr>
                <w:rFonts w:ascii="Arial" w:hAnsi="Arial" w:cs="Arial"/>
                <w:color w:val="000000"/>
              </w:rPr>
              <w:t>42</w:t>
            </w:r>
          </w:p>
        </w:tc>
        <w:tc>
          <w:tcPr>
            <w:tcW w:w="1127" w:type="dxa"/>
            <w:tcBorders>
              <w:bottom w:val="single" w:sz="4" w:space="0" w:color="auto"/>
            </w:tcBorders>
            <w:vAlign w:val="bottom"/>
          </w:tcPr>
          <w:p w14:paraId="72ADCD75" w14:textId="77777777" w:rsidR="00444242" w:rsidRPr="007F127C" w:rsidRDefault="00444242" w:rsidP="009F3736">
            <w:pPr>
              <w:jc w:val="center"/>
              <w:rPr>
                <w:rFonts w:ascii="Arial" w:hAnsi="Arial" w:cs="Arial"/>
                <w:color w:val="000000"/>
              </w:rPr>
            </w:pPr>
            <w:r>
              <w:rPr>
                <w:rFonts w:ascii="Arial" w:hAnsi="Arial" w:cs="Arial"/>
                <w:color w:val="000000"/>
              </w:rPr>
              <w:t>5</w:t>
            </w:r>
          </w:p>
          <w:p w14:paraId="10AFF1F9" w14:textId="77777777" w:rsidR="00444242" w:rsidRPr="007F127C" w:rsidRDefault="00444242" w:rsidP="009F3736">
            <w:pPr>
              <w:jc w:val="center"/>
              <w:rPr>
                <w:rFonts w:ascii="Arial" w:hAnsi="Arial" w:cs="Arial"/>
                <w:color w:val="000000"/>
              </w:rPr>
            </w:pPr>
            <w:r>
              <w:rPr>
                <w:rFonts w:ascii="Arial" w:hAnsi="Arial" w:cs="Arial"/>
                <w:color w:val="000000"/>
              </w:rPr>
              <w:t>0</w:t>
            </w:r>
          </w:p>
          <w:p w14:paraId="48E2A9A9" w14:textId="77777777" w:rsidR="00444242" w:rsidRPr="007F127C" w:rsidRDefault="00444242" w:rsidP="009F3736">
            <w:pPr>
              <w:jc w:val="center"/>
              <w:rPr>
                <w:rFonts w:ascii="Arial" w:hAnsi="Arial" w:cs="Arial"/>
                <w:color w:val="000000"/>
              </w:rPr>
            </w:pPr>
            <w:r>
              <w:rPr>
                <w:rFonts w:ascii="Arial" w:hAnsi="Arial" w:cs="Arial"/>
                <w:color w:val="000000"/>
              </w:rPr>
              <w:t>18</w:t>
            </w:r>
          </w:p>
        </w:tc>
        <w:tc>
          <w:tcPr>
            <w:tcW w:w="1281" w:type="dxa"/>
            <w:tcBorders>
              <w:bottom w:val="single" w:sz="4" w:space="0" w:color="auto"/>
            </w:tcBorders>
          </w:tcPr>
          <w:p w14:paraId="3A9387D2" w14:textId="77777777" w:rsidR="00444242" w:rsidRDefault="00444242" w:rsidP="009F3736">
            <w:pPr>
              <w:jc w:val="center"/>
              <w:rPr>
                <w:rFonts w:ascii="Arial" w:hAnsi="Arial" w:cs="Arial"/>
                <w:color w:val="000000"/>
              </w:rPr>
            </w:pPr>
          </w:p>
          <w:p w14:paraId="48CE4B72" w14:textId="77777777" w:rsidR="00444242" w:rsidRDefault="00444242" w:rsidP="009F3736">
            <w:pPr>
              <w:jc w:val="center"/>
              <w:rPr>
                <w:rFonts w:ascii="Arial" w:hAnsi="Arial" w:cs="Arial"/>
                <w:color w:val="000000"/>
              </w:rPr>
            </w:pPr>
          </w:p>
          <w:p w14:paraId="2D312B2F" w14:textId="77777777" w:rsidR="00444242" w:rsidRDefault="00444242" w:rsidP="009F3736">
            <w:pPr>
              <w:jc w:val="center"/>
              <w:rPr>
                <w:rFonts w:ascii="Arial" w:hAnsi="Arial" w:cs="Arial"/>
                <w:color w:val="000000"/>
              </w:rPr>
            </w:pPr>
            <w:r>
              <w:rPr>
                <w:rFonts w:ascii="Arial" w:hAnsi="Arial" w:cs="Arial"/>
                <w:color w:val="000000"/>
              </w:rPr>
              <w:t>37</w:t>
            </w:r>
          </w:p>
          <w:p w14:paraId="52526A96" w14:textId="77777777" w:rsidR="00444242" w:rsidRDefault="00444242" w:rsidP="009F3736">
            <w:pPr>
              <w:jc w:val="center"/>
              <w:rPr>
                <w:rFonts w:ascii="Arial" w:hAnsi="Arial" w:cs="Arial"/>
                <w:color w:val="000000"/>
              </w:rPr>
            </w:pPr>
            <w:r>
              <w:rPr>
                <w:rFonts w:ascii="Arial" w:hAnsi="Arial" w:cs="Arial"/>
                <w:color w:val="000000"/>
              </w:rPr>
              <w:t>3</w:t>
            </w:r>
          </w:p>
          <w:p w14:paraId="3ECFE564" w14:textId="77777777" w:rsidR="00444242" w:rsidRPr="007F127C" w:rsidRDefault="00444242" w:rsidP="009F3736">
            <w:pPr>
              <w:jc w:val="center"/>
              <w:rPr>
                <w:rFonts w:ascii="Arial" w:hAnsi="Arial" w:cs="Arial"/>
                <w:color w:val="000000"/>
              </w:rPr>
            </w:pPr>
            <w:r>
              <w:rPr>
                <w:rFonts w:ascii="Arial" w:hAnsi="Arial" w:cs="Arial"/>
                <w:color w:val="000000"/>
              </w:rPr>
              <w:t>60</w:t>
            </w:r>
          </w:p>
        </w:tc>
      </w:tr>
      <w:tr w:rsidR="00444242" w14:paraId="65B7E597" w14:textId="77777777" w:rsidTr="009F3736">
        <w:trPr>
          <w:trHeight w:val="258"/>
        </w:trPr>
        <w:tc>
          <w:tcPr>
            <w:tcW w:w="1806" w:type="dxa"/>
            <w:tcBorders>
              <w:bottom w:val="single" w:sz="4" w:space="0" w:color="auto"/>
            </w:tcBorders>
            <w:vAlign w:val="bottom"/>
          </w:tcPr>
          <w:p w14:paraId="3FF4BAA3" w14:textId="77777777" w:rsidR="00444242" w:rsidRPr="007F127C" w:rsidRDefault="00444242" w:rsidP="009F3736">
            <w:pPr>
              <w:jc w:val="center"/>
              <w:rPr>
                <w:rFonts w:ascii="Arial" w:hAnsi="Arial" w:cs="Arial"/>
                <w:color w:val="000000"/>
              </w:rPr>
            </w:pPr>
            <w:r w:rsidRPr="007F127C">
              <w:rPr>
                <w:rFonts w:ascii="Arial" w:hAnsi="Arial" w:cs="Arial"/>
                <w:color w:val="000000"/>
              </w:rPr>
              <w:t>Total</w:t>
            </w:r>
          </w:p>
        </w:tc>
        <w:tc>
          <w:tcPr>
            <w:tcW w:w="1582" w:type="dxa"/>
            <w:tcBorders>
              <w:bottom w:val="single" w:sz="4" w:space="0" w:color="auto"/>
            </w:tcBorders>
            <w:vAlign w:val="bottom"/>
          </w:tcPr>
          <w:p w14:paraId="2AA8CC05" w14:textId="77777777" w:rsidR="00444242" w:rsidRPr="007F127C" w:rsidRDefault="00444242" w:rsidP="009F3736">
            <w:pPr>
              <w:jc w:val="center"/>
              <w:rPr>
                <w:rFonts w:ascii="Arial" w:hAnsi="Arial" w:cs="Arial"/>
                <w:color w:val="000000"/>
              </w:rPr>
            </w:pPr>
            <w:r>
              <w:rPr>
                <w:rFonts w:ascii="Arial" w:hAnsi="Arial" w:cs="Arial"/>
                <w:color w:val="000000"/>
              </w:rPr>
              <w:t>77</w:t>
            </w:r>
          </w:p>
        </w:tc>
        <w:tc>
          <w:tcPr>
            <w:tcW w:w="1127" w:type="dxa"/>
            <w:tcBorders>
              <w:bottom w:val="single" w:sz="4" w:space="0" w:color="auto"/>
            </w:tcBorders>
            <w:vAlign w:val="bottom"/>
          </w:tcPr>
          <w:p w14:paraId="28A79643" w14:textId="77777777" w:rsidR="00444242" w:rsidRPr="007F127C" w:rsidRDefault="00444242" w:rsidP="009F3736">
            <w:pPr>
              <w:jc w:val="center"/>
              <w:rPr>
                <w:rFonts w:ascii="Arial" w:hAnsi="Arial" w:cs="Arial"/>
                <w:color w:val="000000"/>
              </w:rPr>
            </w:pPr>
            <w:r>
              <w:rPr>
                <w:rFonts w:ascii="Arial" w:hAnsi="Arial" w:cs="Arial"/>
                <w:color w:val="000000"/>
              </w:rPr>
              <w:t>23</w:t>
            </w:r>
          </w:p>
        </w:tc>
        <w:tc>
          <w:tcPr>
            <w:tcW w:w="1281" w:type="dxa"/>
            <w:tcBorders>
              <w:bottom w:val="single" w:sz="4" w:space="0" w:color="auto"/>
            </w:tcBorders>
          </w:tcPr>
          <w:p w14:paraId="403C55E4" w14:textId="77777777" w:rsidR="00444242" w:rsidRPr="007F127C" w:rsidRDefault="00444242" w:rsidP="009F3736">
            <w:pPr>
              <w:jc w:val="center"/>
              <w:rPr>
                <w:rFonts w:ascii="Arial" w:hAnsi="Arial" w:cs="Arial"/>
                <w:color w:val="000000"/>
              </w:rPr>
            </w:pPr>
            <w:r>
              <w:rPr>
                <w:rFonts w:ascii="Arial" w:hAnsi="Arial" w:cs="Arial"/>
                <w:color w:val="000000"/>
              </w:rPr>
              <w:t>100</w:t>
            </w:r>
          </w:p>
        </w:tc>
      </w:tr>
      <w:tr w:rsidR="00444242" w14:paraId="5BC81679" w14:textId="77777777" w:rsidTr="009F3736">
        <w:trPr>
          <w:trHeight w:val="579"/>
        </w:trPr>
        <w:tc>
          <w:tcPr>
            <w:tcW w:w="1806" w:type="dxa"/>
            <w:tcBorders>
              <w:top w:val="single" w:sz="4" w:space="0" w:color="auto"/>
              <w:bottom w:val="single" w:sz="4" w:space="0" w:color="000000"/>
            </w:tcBorders>
            <w:vAlign w:val="bottom"/>
          </w:tcPr>
          <w:p w14:paraId="5AEFC2EC" w14:textId="77777777" w:rsidR="00444242" w:rsidRPr="007F127C" w:rsidRDefault="00444242" w:rsidP="009F3736">
            <w:pPr>
              <w:ind w:left="-105"/>
              <w:rPr>
                <w:rFonts w:ascii="Arial" w:hAnsi="Arial" w:cs="Arial"/>
                <w:color w:val="000000"/>
              </w:rPr>
            </w:pPr>
            <w:r w:rsidRPr="007F127C">
              <w:rPr>
                <w:rFonts w:ascii="Arial" w:hAnsi="Arial" w:cs="Arial"/>
                <w:color w:val="000000"/>
              </w:rPr>
              <w:t>Gula Darah</w:t>
            </w:r>
          </w:p>
          <w:p w14:paraId="3B15B53F" w14:textId="77777777" w:rsidR="00444242" w:rsidRPr="007F127C" w:rsidRDefault="00444242" w:rsidP="009F3736">
            <w:pPr>
              <w:ind w:left="37"/>
              <w:rPr>
                <w:rFonts w:ascii="Arial" w:hAnsi="Arial" w:cs="Arial"/>
                <w:color w:val="000000"/>
              </w:rPr>
            </w:pPr>
            <w:r w:rsidRPr="007F127C">
              <w:rPr>
                <w:rFonts w:ascii="Arial" w:hAnsi="Arial" w:cs="Arial"/>
                <w:color w:val="000000"/>
              </w:rPr>
              <w:t>Normal</w:t>
            </w:r>
          </w:p>
          <w:p w14:paraId="4AD6FFBD" w14:textId="77777777" w:rsidR="00444242" w:rsidRPr="007F127C" w:rsidRDefault="00444242" w:rsidP="009F3736">
            <w:pPr>
              <w:ind w:left="37"/>
              <w:rPr>
                <w:rFonts w:ascii="Arial" w:hAnsi="Arial" w:cs="Arial"/>
                <w:color w:val="000000"/>
              </w:rPr>
            </w:pPr>
            <w:r w:rsidRPr="007F127C">
              <w:rPr>
                <w:rFonts w:ascii="Arial" w:hAnsi="Arial" w:cs="Arial"/>
                <w:color w:val="000000"/>
              </w:rPr>
              <w:t xml:space="preserve">Rendah </w:t>
            </w:r>
          </w:p>
          <w:p w14:paraId="351DC4EF" w14:textId="77777777" w:rsidR="00444242" w:rsidRPr="007F127C" w:rsidRDefault="00444242" w:rsidP="009F3736">
            <w:pPr>
              <w:ind w:left="37"/>
              <w:rPr>
                <w:rFonts w:ascii="Arial" w:hAnsi="Arial" w:cs="Arial"/>
                <w:color w:val="000000"/>
              </w:rPr>
            </w:pPr>
            <w:r w:rsidRPr="007F127C">
              <w:rPr>
                <w:rFonts w:ascii="Arial" w:hAnsi="Arial" w:cs="Arial"/>
                <w:color w:val="000000"/>
              </w:rPr>
              <w:t>Tinggi</w:t>
            </w:r>
          </w:p>
        </w:tc>
        <w:tc>
          <w:tcPr>
            <w:tcW w:w="1582" w:type="dxa"/>
            <w:tcBorders>
              <w:top w:val="single" w:sz="4" w:space="0" w:color="auto"/>
              <w:bottom w:val="single" w:sz="4" w:space="0" w:color="000000"/>
            </w:tcBorders>
            <w:vAlign w:val="bottom"/>
          </w:tcPr>
          <w:p w14:paraId="5218E568" w14:textId="77777777" w:rsidR="00444242" w:rsidRPr="007F127C" w:rsidRDefault="00444242" w:rsidP="009F3736">
            <w:pPr>
              <w:jc w:val="center"/>
              <w:rPr>
                <w:rFonts w:ascii="Arial" w:hAnsi="Arial" w:cs="Arial"/>
                <w:color w:val="000000"/>
              </w:rPr>
            </w:pPr>
            <w:r>
              <w:rPr>
                <w:rFonts w:ascii="Arial" w:hAnsi="Arial" w:cs="Arial"/>
                <w:color w:val="000000"/>
              </w:rPr>
              <w:t>25</w:t>
            </w:r>
          </w:p>
          <w:p w14:paraId="2025A5CB" w14:textId="77777777" w:rsidR="00444242" w:rsidRPr="007F127C" w:rsidRDefault="00444242" w:rsidP="009F3736">
            <w:pPr>
              <w:jc w:val="center"/>
              <w:rPr>
                <w:rFonts w:ascii="Arial" w:hAnsi="Arial" w:cs="Arial"/>
                <w:color w:val="000000"/>
              </w:rPr>
            </w:pPr>
            <w:r>
              <w:rPr>
                <w:rFonts w:ascii="Arial" w:hAnsi="Arial" w:cs="Arial"/>
                <w:color w:val="000000"/>
              </w:rPr>
              <w:t>0</w:t>
            </w:r>
          </w:p>
          <w:p w14:paraId="5F561C82" w14:textId="77777777" w:rsidR="00444242" w:rsidRPr="007F127C" w:rsidRDefault="00444242" w:rsidP="009F3736">
            <w:pPr>
              <w:jc w:val="center"/>
              <w:rPr>
                <w:rFonts w:ascii="Arial" w:hAnsi="Arial" w:cs="Arial"/>
                <w:color w:val="000000"/>
              </w:rPr>
            </w:pPr>
            <w:r>
              <w:rPr>
                <w:rFonts w:ascii="Arial" w:hAnsi="Arial" w:cs="Arial"/>
                <w:color w:val="000000"/>
              </w:rPr>
              <w:t>9</w:t>
            </w:r>
          </w:p>
        </w:tc>
        <w:tc>
          <w:tcPr>
            <w:tcW w:w="1127" w:type="dxa"/>
            <w:tcBorders>
              <w:top w:val="single" w:sz="4" w:space="0" w:color="auto"/>
              <w:bottom w:val="single" w:sz="4" w:space="0" w:color="000000"/>
            </w:tcBorders>
            <w:vAlign w:val="bottom"/>
          </w:tcPr>
          <w:p w14:paraId="0590972C" w14:textId="77777777" w:rsidR="00444242" w:rsidRPr="007F127C" w:rsidRDefault="00444242" w:rsidP="009F3736">
            <w:pPr>
              <w:jc w:val="center"/>
              <w:rPr>
                <w:rFonts w:ascii="Arial" w:hAnsi="Arial" w:cs="Arial"/>
                <w:color w:val="000000"/>
              </w:rPr>
            </w:pPr>
            <w:r>
              <w:rPr>
                <w:rFonts w:ascii="Arial" w:hAnsi="Arial" w:cs="Arial"/>
                <w:color w:val="000000"/>
              </w:rPr>
              <w:t>10</w:t>
            </w:r>
          </w:p>
          <w:p w14:paraId="170434B3" w14:textId="77777777" w:rsidR="00444242" w:rsidRPr="007F127C" w:rsidRDefault="00444242" w:rsidP="009F3736">
            <w:pPr>
              <w:jc w:val="center"/>
              <w:rPr>
                <w:rFonts w:ascii="Arial" w:hAnsi="Arial" w:cs="Arial"/>
                <w:color w:val="000000"/>
              </w:rPr>
            </w:pPr>
            <w:r>
              <w:rPr>
                <w:rFonts w:ascii="Arial" w:hAnsi="Arial" w:cs="Arial"/>
                <w:color w:val="000000"/>
              </w:rPr>
              <w:t>0</w:t>
            </w:r>
          </w:p>
          <w:p w14:paraId="176675F8" w14:textId="77777777" w:rsidR="00444242" w:rsidRPr="007F127C" w:rsidRDefault="00444242" w:rsidP="009F3736">
            <w:pPr>
              <w:jc w:val="center"/>
              <w:rPr>
                <w:rFonts w:ascii="Arial" w:hAnsi="Arial" w:cs="Arial"/>
                <w:color w:val="000000"/>
              </w:rPr>
            </w:pPr>
            <w:r>
              <w:rPr>
                <w:rFonts w:ascii="Arial" w:hAnsi="Arial" w:cs="Arial"/>
                <w:color w:val="000000"/>
              </w:rPr>
              <w:t>4</w:t>
            </w:r>
          </w:p>
        </w:tc>
        <w:tc>
          <w:tcPr>
            <w:tcW w:w="1281" w:type="dxa"/>
            <w:tcBorders>
              <w:top w:val="single" w:sz="4" w:space="0" w:color="auto"/>
              <w:bottom w:val="single" w:sz="4" w:space="0" w:color="000000"/>
            </w:tcBorders>
          </w:tcPr>
          <w:p w14:paraId="50C874BF" w14:textId="77777777" w:rsidR="00444242" w:rsidRDefault="00444242" w:rsidP="009F3736">
            <w:pPr>
              <w:jc w:val="center"/>
              <w:rPr>
                <w:rFonts w:ascii="Arial" w:hAnsi="Arial" w:cs="Arial"/>
                <w:color w:val="000000"/>
              </w:rPr>
            </w:pPr>
          </w:p>
          <w:p w14:paraId="3533B26E" w14:textId="77777777" w:rsidR="00444242" w:rsidRDefault="00444242" w:rsidP="009F3736">
            <w:pPr>
              <w:jc w:val="center"/>
              <w:rPr>
                <w:rFonts w:ascii="Arial" w:hAnsi="Arial" w:cs="Arial"/>
                <w:color w:val="000000"/>
              </w:rPr>
            </w:pPr>
          </w:p>
          <w:p w14:paraId="1B510725" w14:textId="77777777" w:rsidR="00444242" w:rsidRDefault="00444242" w:rsidP="009F3736">
            <w:pPr>
              <w:jc w:val="center"/>
              <w:rPr>
                <w:rFonts w:ascii="Arial" w:hAnsi="Arial" w:cs="Arial"/>
                <w:color w:val="000000"/>
              </w:rPr>
            </w:pPr>
            <w:r>
              <w:rPr>
                <w:rFonts w:ascii="Arial" w:hAnsi="Arial" w:cs="Arial"/>
                <w:color w:val="000000"/>
              </w:rPr>
              <w:t>35</w:t>
            </w:r>
          </w:p>
          <w:p w14:paraId="0E8BE079" w14:textId="77777777" w:rsidR="00444242" w:rsidRDefault="00444242" w:rsidP="009F3736">
            <w:pPr>
              <w:jc w:val="center"/>
              <w:rPr>
                <w:rFonts w:ascii="Arial" w:hAnsi="Arial" w:cs="Arial"/>
                <w:color w:val="000000"/>
              </w:rPr>
            </w:pPr>
            <w:r>
              <w:rPr>
                <w:rFonts w:ascii="Arial" w:hAnsi="Arial" w:cs="Arial"/>
                <w:color w:val="000000"/>
              </w:rPr>
              <w:t>0</w:t>
            </w:r>
          </w:p>
          <w:p w14:paraId="272F471E" w14:textId="77777777" w:rsidR="00444242" w:rsidRPr="007F127C" w:rsidRDefault="00444242" w:rsidP="009F3736">
            <w:pPr>
              <w:jc w:val="center"/>
              <w:rPr>
                <w:rFonts w:ascii="Arial" w:hAnsi="Arial" w:cs="Arial"/>
                <w:color w:val="000000"/>
              </w:rPr>
            </w:pPr>
            <w:r>
              <w:rPr>
                <w:rFonts w:ascii="Arial" w:hAnsi="Arial" w:cs="Arial"/>
                <w:color w:val="000000"/>
              </w:rPr>
              <w:t>13</w:t>
            </w:r>
          </w:p>
        </w:tc>
      </w:tr>
      <w:tr w:rsidR="00444242" w14:paraId="08A5948A" w14:textId="77777777" w:rsidTr="009F3736">
        <w:trPr>
          <w:trHeight w:val="179"/>
        </w:trPr>
        <w:tc>
          <w:tcPr>
            <w:tcW w:w="1806" w:type="dxa"/>
            <w:tcBorders>
              <w:top w:val="single" w:sz="4" w:space="0" w:color="000000"/>
            </w:tcBorders>
            <w:vAlign w:val="center"/>
          </w:tcPr>
          <w:p w14:paraId="26131239" w14:textId="77777777" w:rsidR="00444242" w:rsidRPr="007F127C" w:rsidRDefault="00444242" w:rsidP="009F3736">
            <w:pPr>
              <w:jc w:val="center"/>
              <w:rPr>
                <w:rFonts w:ascii="Arial" w:hAnsi="Arial" w:cs="Arial"/>
                <w:color w:val="000000"/>
              </w:rPr>
            </w:pPr>
            <w:r w:rsidRPr="007F127C">
              <w:rPr>
                <w:rFonts w:ascii="Arial" w:hAnsi="Arial" w:cs="Arial"/>
                <w:color w:val="000000"/>
              </w:rPr>
              <w:t>Total</w:t>
            </w:r>
          </w:p>
        </w:tc>
        <w:tc>
          <w:tcPr>
            <w:tcW w:w="1582" w:type="dxa"/>
            <w:tcBorders>
              <w:top w:val="single" w:sz="4" w:space="0" w:color="000000"/>
            </w:tcBorders>
            <w:vAlign w:val="bottom"/>
          </w:tcPr>
          <w:p w14:paraId="44AEEE9F" w14:textId="77777777" w:rsidR="00444242" w:rsidRPr="007F127C" w:rsidRDefault="00444242" w:rsidP="009F3736">
            <w:pPr>
              <w:jc w:val="center"/>
              <w:rPr>
                <w:rFonts w:ascii="Arial" w:hAnsi="Arial" w:cs="Arial"/>
                <w:color w:val="000000"/>
              </w:rPr>
            </w:pPr>
            <w:r>
              <w:rPr>
                <w:rFonts w:ascii="Arial" w:hAnsi="Arial" w:cs="Arial"/>
                <w:color w:val="000000"/>
              </w:rPr>
              <w:t>34</w:t>
            </w:r>
          </w:p>
        </w:tc>
        <w:tc>
          <w:tcPr>
            <w:tcW w:w="1127" w:type="dxa"/>
            <w:tcBorders>
              <w:top w:val="single" w:sz="4" w:space="0" w:color="000000"/>
            </w:tcBorders>
            <w:vAlign w:val="bottom"/>
          </w:tcPr>
          <w:p w14:paraId="06052268" w14:textId="77777777" w:rsidR="00444242" w:rsidRPr="007F127C" w:rsidRDefault="00444242" w:rsidP="009F3736">
            <w:pPr>
              <w:jc w:val="center"/>
              <w:rPr>
                <w:rFonts w:ascii="Arial" w:hAnsi="Arial" w:cs="Arial"/>
                <w:color w:val="000000"/>
              </w:rPr>
            </w:pPr>
            <w:r w:rsidRPr="007F127C">
              <w:rPr>
                <w:rFonts w:ascii="Arial" w:hAnsi="Arial" w:cs="Arial"/>
                <w:color w:val="000000"/>
              </w:rPr>
              <w:t>1</w:t>
            </w:r>
            <w:r>
              <w:rPr>
                <w:rFonts w:ascii="Arial" w:hAnsi="Arial" w:cs="Arial"/>
                <w:color w:val="000000"/>
              </w:rPr>
              <w:t>4</w:t>
            </w:r>
          </w:p>
        </w:tc>
        <w:tc>
          <w:tcPr>
            <w:tcW w:w="1281" w:type="dxa"/>
            <w:tcBorders>
              <w:top w:val="single" w:sz="4" w:space="0" w:color="000000"/>
            </w:tcBorders>
          </w:tcPr>
          <w:p w14:paraId="0E059EB1" w14:textId="77777777" w:rsidR="00444242" w:rsidRPr="007F127C" w:rsidRDefault="00444242" w:rsidP="009F3736">
            <w:pPr>
              <w:jc w:val="center"/>
              <w:rPr>
                <w:rFonts w:ascii="Arial" w:hAnsi="Arial" w:cs="Arial"/>
                <w:color w:val="000000"/>
              </w:rPr>
            </w:pPr>
            <w:r>
              <w:rPr>
                <w:rFonts w:ascii="Arial" w:hAnsi="Arial" w:cs="Arial"/>
                <w:color w:val="000000"/>
              </w:rPr>
              <w:t>48</w:t>
            </w:r>
          </w:p>
        </w:tc>
      </w:tr>
    </w:tbl>
    <w:p w14:paraId="3DB45F7B" w14:textId="77777777" w:rsidR="00444242" w:rsidRDefault="00444242" w:rsidP="00444242">
      <w:pPr>
        <w:spacing w:line="360" w:lineRule="auto"/>
        <w:jc w:val="center"/>
        <w:rPr>
          <w:rFonts w:ascii="Arial" w:eastAsia="Arial" w:hAnsi="Arial" w:cs="Arial"/>
          <w:bCs/>
        </w:rPr>
      </w:pPr>
    </w:p>
    <w:p w14:paraId="73F4B43B" w14:textId="77777777" w:rsidR="00444242" w:rsidRDefault="00444242" w:rsidP="00444242">
      <w:pPr>
        <w:spacing w:line="360" w:lineRule="auto"/>
        <w:jc w:val="center"/>
        <w:rPr>
          <w:rFonts w:ascii="Arial" w:eastAsia="Arial" w:hAnsi="Arial" w:cs="Arial"/>
          <w:bCs/>
        </w:rPr>
      </w:pPr>
    </w:p>
    <w:p w14:paraId="5EBEB31E" w14:textId="77777777" w:rsidR="00444242" w:rsidRDefault="00444242" w:rsidP="00444242">
      <w:pPr>
        <w:spacing w:line="360" w:lineRule="auto"/>
        <w:jc w:val="center"/>
        <w:rPr>
          <w:rFonts w:ascii="Arial" w:eastAsia="Arial" w:hAnsi="Arial" w:cs="Arial"/>
          <w:bCs/>
        </w:rPr>
      </w:pPr>
    </w:p>
    <w:p w14:paraId="1B0DF5A8" w14:textId="77777777" w:rsidR="00444242" w:rsidRDefault="00444242" w:rsidP="00444242">
      <w:pPr>
        <w:spacing w:line="360" w:lineRule="auto"/>
        <w:jc w:val="center"/>
        <w:rPr>
          <w:rFonts w:ascii="Arial" w:eastAsia="Arial" w:hAnsi="Arial" w:cs="Arial"/>
          <w:bCs/>
        </w:rPr>
      </w:pPr>
    </w:p>
    <w:p w14:paraId="2F53E29D" w14:textId="77777777" w:rsidR="00444242" w:rsidRDefault="00444242" w:rsidP="00444242">
      <w:pPr>
        <w:spacing w:line="360" w:lineRule="auto"/>
        <w:jc w:val="center"/>
        <w:rPr>
          <w:rFonts w:ascii="Arial" w:eastAsia="Arial" w:hAnsi="Arial" w:cs="Arial"/>
          <w:bCs/>
        </w:rPr>
      </w:pPr>
    </w:p>
    <w:p w14:paraId="6D8CDF3C" w14:textId="77777777" w:rsidR="00444242" w:rsidRDefault="00444242" w:rsidP="00444242">
      <w:pPr>
        <w:spacing w:line="360" w:lineRule="auto"/>
        <w:jc w:val="center"/>
        <w:rPr>
          <w:rFonts w:ascii="Arial" w:eastAsia="Arial" w:hAnsi="Arial" w:cs="Arial"/>
          <w:bCs/>
        </w:rPr>
      </w:pPr>
    </w:p>
    <w:p w14:paraId="54902944" w14:textId="77777777" w:rsidR="00444242" w:rsidRDefault="00444242" w:rsidP="00444242">
      <w:pPr>
        <w:spacing w:line="360" w:lineRule="auto"/>
        <w:jc w:val="center"/>
        <w:rPr>
          <w:rFonts w:ascii="Arial" w:eastAsia="Arial" w:hAnsi="Arial" w:cs="Arial"/>
          <w:bCs/>
        </w:rPr>
      </w:pPr>
    </w:p>
    <w:p w14:paraId="24248F9B" w14:textId="77777777" w:rsidR="00444242" w:rsidRDefault="00444242" w:rsidP="00444242">
      <w:pPr>
        <w:spacing w:line="360" w:lineRule="auto"/>
        <w:jc w:val="center"/>
        <w:rPr>
          <w:rFonts w:ascii="Arial" w:eastAsia="Arial" w:hAnsi="Arial" w:cs="Arial"/>
          <w:bCs/>
          <w:i/>
          <w:iCs/>
        </w:rPr>
      </w:pPr>
    </w:p>
    <w:p w14:paraId="6118D597" w14:textId="77777777" w:rsidR="00444242" w:rsidRDefault="00444242" w:rsidP="00444242">
      <w:pPr>
        <w:spacing w:line="360" w:lineRule="auto"/>
        <w:jc w:val="center"/>
        <w:rPr>
          <w:rFonts w:ascii="Arial" w:eastAsia="Arial" w:hAnsi="Arial" w:cs="Arial"/>
          <w:bCs/>
          <w:i/>
          <w:iCs/>
        </w:rPr>
      </w:pPr>
    </w:p>
    <w:bookmarkEnd w:id="3"/>
    <w:p w14:paraId="7395B07A" w14:textId="77777777" w:rsidR="00444242" w:rsidRPr="00A16321" w:rsidRDefault="00444242" w:rsidP="009F3736">
      <w:pPr>
        <w:spacing w:after="240" w:line="360" w:lineRule="auto"/>
        <w:ind w:left="1560"/>
        <w:rPr>
          <w:rFonts w:ascii="Arial" w:eastAsia="Arial" w:hAnsi="Arial" w:cs="Arial"/>
          <w:bCs/>
          <w:i/>
          <w:iCs/>
        </w:rPr>
      </w:pPr>
      <w:r>
        <w:rPr>
          <w:rFonts w:ascii="Arial" w:eastAsia="Arial" w:hAnsi="Arial" w:cs="Arial"/>
          <w:bCs/>
          <w:i/>
          <w:iCs/>
        </w:rPr>
        <w:t>Sumber: data primer</w:t>
      </w:r>
    </w:p>
    <w:p w14:paraId="6039D7DC" w14:textId="36EF7740" w:rsidR="00444242" w:rsidRPr="00444242" w:rsidRDefault="00522077" w:rsidP="00444242">
      <w:pPr>
        <w:spacing w:line="360" w:lineRule="auto"/>
        <w:ind w:left="851"/>
        <w:jc w:val="both"/>
        <w:rPr>
          <w:sz w:val="28"/>
          <w:szCs w:val="28"/>
        </w:rPr>
      </w:pPr>
      <w:r>
        <w:rPr>
          <w:rFonts w:eastAsia="Arial"/>
          <w:bCs/>
          <w:sz w:val="24"/>
          <w:szCs w:val="24"/>
        </w:rPr>
        <w:tab/>
      </w:r>
      <w:r w:rsidR="00444242" w:rsidRPr="00444242">
        <w:rPr>
          <w:rFonts w:eastAsia="Arial"/>
          <w:bCs/>
          <w:sz w:val="24"/>
          <w:szCs w:val="24"/>
        </w:rPr>
        <w:t>Berdasarakann hasil  skrining tekanan darah jika di lihat berdasarkan usia, kelompok usia produktif lebih tinggi sebanyak 77 orang di bandingakn dengan kelompok lansia  sebanyak 23. Tekanan darah tinggi lebih banyak di temukan pada usia produktif, yaitu 42 orang dan pada  kelompok lansia sebanyak 18 orang, sedangkan paling sedikit ditemukan yang memiliki tekanan darah rendah yaitu pada usia produktif sebanyak 3 orang dan lansia tidak ditemukan adanya peserta yang memiliki tekanan darah rendah.</w:t>
      </w:r>
    </w:p>
    <w:p w14:paraId="715FD280" w14:textId="58273E15" w:rsidR="00444242" w:rsidRPr="00444242" w:rsidRDefault="00444242" w:rsidP="00EE6760">
      <w:pPr>
        <w:spacing w:line="360" w:lineRule="auto"/>
        <w:ind w:left="851" w:firstLine="589"/>
        <w:jc w:val="both"/>
        <w:rPr>
          <w:rFonts w:eastAsia="Arial"/>
          <w:bCs/>
          <w:sz w:val="24"/>
          <w:szCs w:val="24"/>
        </w:rPr>
      </w:pPr>
      <w:r w:rsidRPr="00444242">
        <w:rPr>
          <w:rFonts w:eastAsia="Arial"/>
          <w:bCs/>
          <w:sz w:val="24"/>
          <w:szCs w:val="24"/>
        </w:rPr>
        <w:t>Berdasarkan hasil skrining gula darah terdapat 48 orang yang melakukan skrining gula darah, pada usia produktif sebanyak 34 orang dan pada lansia sebanyak 14 orang. Berdasarkan usia di temukan pada usia produktif paling banyak memiliki kadar gula darah normal yaitu 25 orang dan lansia yaitu 10 orang. Pada kelompok usia produktif ditemukan kadar gula darah tinggi sejumlah 9 orang dan lansia sejumlah 4 orang,  sedangkan tidak di temukan pada kelompok usia produktif dan lansia yang memiliki kadar gula darah rendah.</w:t>
      </w:r>
    </w:p>
    <w:p w14:paraId="3F01F6C2" w14:textId="77777777" w:rsidR="00444242" w:rsidRPr="00444242" w:rsidRDefault="00444242" w:rsidP="00F73F58">
      <w:pPr>
        <w:spacing w:line="360" w:lineRule="auto"/>
        <w:ind w:left="851" w:firstLine="589"/>
        <w:jc w:val="both"/>
        <w:rPr>
          <w:sz w:val="24"/>
          <w:szCs w:val="24"/>
        </w:rPr>
      </w:pPr>
      <w:r w:rsidRPr="00444242">
        <w:rPr>
          <w:sz w:val="24"/>
          <w:szCs w:val="24"/>
        </w:rPr>
        <w:t xml:space="preserve">Hasil pemeriksaan ini bisa di lihat pada tabel 1 berdasarkan kelompok usia menunjukan bahwa pada kelompok lansia rata-rata masyarakat memiliki tekanan darah tinggi atau hipertensi  sebanyak 18 orang sedangakan pada usia produktif sebanyak 42 orang. Fakta menunjukkan bahwa sebagian besar penderita hipertensi disebabkan oleh pola makan, seperti konsumsi makanan dengan asupan natrium yang tinggi, kebiasaan sering mengonsumsi makanan berlemak, makanan yang digoreng, serta konsumsi makanan dan minuman yang difermentasi </w:t>
      </w:r>
      <w:r w:rsidRPr="00444242">
        <w:rPr>
          <w:sz w:val="24"/>
          <w:szCs w:val="24"/>
        </w:rPr>
        <w:fldChar w:fldCharType="begin" w:fldLock="1"/>
      </w:r>
      <w:r w:rsidRPr="00444242">
        <w:rPr>
          <w:sz w:val="24"/>
          <w:szCs w:val="24"/>
        </w:rPr>
        <w:instrText>ADDIN CSL_CITATION {"citationItems":[{"id":"ITEM-1","itemData":{"DOI":"10.36911/pannmed.v17i1.1296","ISSN":"2623-0046","abstract":"Introduction: One of the risk factors for hypertension is the wrong dietary habits. The habit of consuming fast food, foods that contain preservatives, sodium and high fat foods are examples of wrong dietary habits. Objective: To conduct a systematic review of the relationship of dietary habits with the incidence of hypertension in the elderly based on a study of the last 5 years. Design: Systematic Review. Sources of comprehensive electronic data searches were conducted on Pubmed, Google Schoolar, Garuda Portal and Mendeley. Review Method: The keywords used in this study are “dietary habit” AND “incidence of hypertenysion” AND “elderly”. The inclusion criteria used in this study are: (1) the population is elderly with hypertension, (2) not research articles with intervention, (3) articles published in 2016-2021, (4) open access free full text, (5) International reputation such as: Scimago and indexed Nationally such as: Garuda and Sinta and (6) articles in Indonesian and English. Results: The number of 9 journals reviewed by researchers showed that most diets cause hypertension in the elderly, such as diets with high sodium intake, intake of fatty foods and consumption of fermented foods or drinks. Conclusion: there is a relationship between dietary habits and the incidence of hypertension in the elderly based on empirical studies of the last five years. Suggestion: the results of this study are expected to be used as information material about a good diet for the elderly so that the incidence of hypertension can be prevented.","author":[{"dropping-particle":"","family":"Emi Inayah Sari Siregar","given":"","non-dropping-particle":"","parse-names":false,"suffix":""}],"container-title":"Jurnal Ilmiah PANNMED (Pharmacist, Analyst, Nurse, Nutrition, Midwivery, Environment, Dentist)","id":"ITEM-1","issue":"1","issued":{"date-parts":[["2022"]]},"page":"202-209","title":"Systematic Review Hubungan Pola Makan Dengan Kejadian Hipertensi Pada Lansia","type":"article-journal","volume":"17"},"uris":["http://www.mendeley.com/documents/?uuid=bf2e0934-ccc9-42b5-b1ff-91dfea13e331"]}],"mendeley":{"formattedCitation":"(Emi Inayah Sari Siregar, 2022)","plainTextFormattedCitation":"(Emi Inayah Sari Siregar, 2022)","previouslyFormattedCitation":"(Emi Inayah Sari Siregar, 2022)"},"properties":{"noteIndex":0},"schema":"https://github.com/citation-style-language/schema/raw/master/csl-citation.json"}</w:instrText>
      </w:r>
      <w:r w:rsidRPr="00444242">
        <w:rPr>
          <w:sz w:val="24"/>
          <w:szCs w:val="24"/>
        </w:rPr>
        <w:fldChar w:fldCharType="separate"/>
      </w:r>
      <w:r w:rsidRPr="00444242">
        <w:rPr>
          <w:noProof/>
          <w:sz w:val="24"/>
          <w:szCs w:val="24"/>
        </w:rPr>
        <w:t>(Emi Inayah Sari Siregar, 2022)</w:t>
      </w:r>
      <w:r w:rsidRPr="00444242">
        <w:rPr>
          <w:sz w:val="24"/>
          <w:szCs w:val="24"/>
        </w:rPr>
        <w:fldChar w:fldCharType="end"/>
      </w:r>
      <w:r w:rsidRPr="00444242">
        <w:rPr>
          <w:sz w:val="24"/>
          <w:szCs w:val="24"/>
        </w:rPr>
        <w:t xml:space="preserve">. </w:t>
      </w:r>
    </w:p>
    <w:p w14:paraId="49645208" w14:textId="1BBE989C" w:rsidR="00444242" w:rsidRPr="00444242" w:rsidRDefault="00522077" w:rsidP="00444242">
      <w:pPr>
        <w:spacing w:line="360" w:lineRule="auto"/>
        <w:ind w:left="851"/>
        <w:jc w:val="both"/>
        <w:rPr>
          <w:sz w:val="24"/>
          <w:szCs w:val="24"/>
        </w:rPr>
      </w:pPr>
      <w:r>
        <w:rPr>
          <w:sz w:val="24"/>
          <w:szCs w:val="24"/>
        </w:rPr>
        <w:tab/>
      </w:r>
      <w:r w:rsidR="00444242" w:rsidRPr="00444242">
        <w:rPr>
          <w:sz w:val="24"/>
          <w:szCs w:val="24"/>
        </w:rPr>
        <w:t xml:space="preserve">Dari hasil pemeriksaan kadar gula darah di Desa mongolato kecamatan telaga di </w:t>
      </w:r>
      <w:r w:rsidR="00444242" w:rsidRPr="00444242">
        <w:rPr>
          <w:sz w:val="24"/>
          <w:szCs w:val="24"/>
        </w:rPr>
        <w:lastRenderedPageBreak/>
        <w:t>temukan rata-rata masyarakat memiliki kadar gula darah normal. Meskipun banyak masyarakat yang memiliki kadar gula darah normal tetapi masih ada di temukan masyarakat yang memiliki kadar gulah darah tinggi yaitu sebanyak 13 orang.</w:t>
      </w:r>
    </w:p>
    <w:p w14:paraId="3AA57882" w14:textId="042F6853" w:rsidR="00A45AED" w:rsidRPr="00DC3806" w:rsidRDefault="00444242" w:rsidP="00DC3806">
      <w:pPr>
        <w:spacing w:line="360" w:lineRule="auto"/>
        <w:ind w:left="851"/>
        <w:jc w:val="both"/>
        <w:rPr>
          <w:sz w:val="24"/>
          <w:szCs w:val="24"/>
        </w:rPr>
      </w:pPr>
      <w:r w:rsidRPr="00444242">
        <w:rPr>
          <w:sz w:val="24"/>
          <w:szCs w:val="24"/>
        </w:rPr>
        <w:t>Penyakit metabolik yang ditandai dengan kadar glukosa darah tinggi (hiperglikemia) disebabkan oleh gangguan dalam sekresi insulin, fungsi insulin, atau keduanya, yaitu diabetes melitus. Kadar glukosa darah yang tinggi dapat menimbulkan dampak serius terhadap kesehatan, seperti berkembangnya penyakit kardiovaskular, gangguan pada pembuluh darah otak, stroke, dan gagal ginjal</w:t>
      </w:r>
      <w:r w:rsidRPr="00444242">
        <w:rPr>
          <w:sz w:val="24"/>
          <w:szCs w:val="24"/>
        </w:rPr>
        <w:fldChar w:fldCharType="begin" w:fldLock="1"/>
      </w:r>
      <w:r w:rsidRPr="00444242">
        <w:rPr>
          <w:sz w:val="24"/>
          <w:szCs w:val="24"/>
        </w:rPr>
        <w:instrText>ADDIN CSL_CITATION {"citationItems":[{"id":"ITEM-1","itemData":{"DOI":"10.14710/jnc.v11i2.32881","ISSN":"2337-6236","abstract":"Latar Belakang: Diabetes mellitus adalah penyakit metabolik dengan karakteristik kadar glukosa darah yang tinggi (hiperglikemik) yang terjadi karena kelainan sekresi insulin, kerja insulin ataupun keduanya. Glukosa darah yang tinggi dapat berdampak besar pada masalah kesehatan karena dapat berkembang menjadi penyakit kardiovaskuler, stroke dan gagal ginjal.Tujuan: Penelitian ini bertujuan untuk mengetahui faktor-faktor yang mempengaruhi kadar glukosa darah pada penderita diabetes melitus tipe II usia 46-65 Tahun di Posbindu Puskesmas Liya Kabupaten Wakatobi. Metode: Penelitian ini merupakan penelitian kuantitatif dengan desain cross sectional. Metode sampling yang digunakan adalah purposive sampling. Data yang dikumpulkan antara lain data kadar glukosa darah, tingkat stress, aktivitas fisik, dan asupan gizi. Data tingkat stress diambil menggunakan kuesioner Perceived Stress Scale-10 dan data aktivitas fisik diambil menggunakan kuesioner International Physical Activity Questionnaire. Data asupan gizi diambil melalui 2x24 hours food recall dan semi-quanitative food frequency questionnaire. Analisis bivariat dilakukan menggunakan uji chi-square dan analisis multivariat menggunakan regresi logistik.Hasil: Hasil analisis bivariat menunjukkan terdapat hubungan yang signifikan antara tingkat stres (p-value: 0,029), aktivitas fisik (p-value: 0,015) dan kadar glukosa darah pada penderita diabetes melitus tipe II. Sementara itu, tidak terdapat hubungan yang signifikan antara asupan karbohidrat total (p-value: 0,911), asupan karbohidrat sederhana (p-value: 0,457) kepatuhan diet (p-value: 0,701) dan kadar glukosa darah. Hasil analisis multivariat diperoleh OR paling tinggi adalah pada variabel aktivitas fisik yaitu 4,320. Simpulan: Terdapat hubungan yang signifikan antara antara tingkat stres, aktivitas fisik dan kadar glukosa darah pada penderita diabetes melitus tipe II","author":[{"dropping-particle":"","family":"Ekasari","given":"Ekasari","non-dropping-particle":"","parse-names":false,"suffix":""},{"dropping-particle":"","family":"Dhanny","given":"Devieka Rhama","non-dropping-particle":"","parse-names":false,"suffix":""}],"container-title":"Journal of Nutrition College","id":"ITEM-1","issue":"2","issued":{"date-parts":[["2022"]]},"page":"154-162","title":"Faktor Yang Mempengaruhi Kadar Glukosa Darah Penderita Diabetes Melitus Tipe Ii Usia 46-65 Tahun Di Kabupaten Wakatobi","type":"article-journal","volume":"11"},"uris":["http://www.mendeley.com/documents/?uuid=06ce9dd7-07a7-4e09-9c63-625ddb4735b2"]}],"mendeley":{"formattedCitation":"(Ekasari &amp; Dhanny, 2022)","plainTextFormattedCitation":"(Ekasari &amp; Dhanny, 2022)","previouslyFormattedCitation":"(Ekasari &amp; Dhanny, 2022)"},"properties":{"noteIndex":0},"schema":"https://github.com/citation-style-language/schema/raw/master/csl-citation.json"}</w:instrText>
      </w:r>
      <w:r w:rsidRPr="00444242">
        <w:rPr>
          <w:sz w:val="24"/>
          <w:szCs w:val="24"/>
        </w:rPr>
        <w:fldChar w:fldCharType="separate"/>
      </w:r>
      <w:r w:rsidRPr="00444242">
        <w:rPr>
          <w:noProof/>
          <w:sz w:val="24"/>
          <w:szCs w:val="24"/>
        </w:rPr>
        <w:t>(Ekasari &amp; Dhanny, 2022)</w:t>
      </w:r>
      <w:r w:rsidRPr="00444242">
        <w:rPr>
          <w:sz w:val="24"/>
          <w:szCs w:val="24"/>
        </w:rPr>
        <w:fldChar w:fldCharType="end"/>
      </w:r>
      <w:r w:rsidRPr="00444242">
        <w:rPr>
          <w:sz w:val="24"/>
          <w:szCs w:val="24"/>
        </w:rPr>
        <w:t>.</w:t>
      </w:r>
    </w:p>
    <w:p w14:paraId="790CE592" w14:textId="77777777" w:rsidR="00A45AED" w:rsidRDefault="00752542" w:rsidP="00DC3806">
      <w:pPr>
        <w:pStyle w:val="ListParagraph"/>
        <w:numPr>
          <w:ilvl w:val="0"/>
          <w:numId w:val="1"/>
        </w:numPr>
        <w:tabs>
          <w:tab w:val="left" w:pos="821"/>
        </w:tabs>
        <w:spacing w:before="240"/>
        <w:ind w:hanging="361"/>
        <w:rPr>
          <w:b/>
          <w:sz w:val="24"/>
        </w:rPr>
      </w:pPr>
      <w:r>
        <w:rPr>
          <w:b/>
          <w:sz w:val="24"/>
        </w:rPr>
        <w:t>SIMPULAN</w:t>
      </w:r>
    </w:p>
    <w:p w14:paraId="439BADF6" w14:textId="79F161A6" w:rsidR="00DC3806" w:rsidRPr="00DC3806" w:rsidRDefault="00522077" w:rsidP="00DC3806">
      <w:pPr>
        <w:spacing w:line="360" w:lineRule="auto"/>
        <w:ind w:left="851"/>
        <w:jc w:val="both"/>
        <w:rPr>
          <w:rFonts w:eastAsia="Arial"/>
          <w:sz w:val="24"/>
          <w:szCs w:val="24"/>
        </w:rPr>
      </w:pPr>
      <w:r>
        <w:rPr>
          <w:rFonts w:eastAsia="Arial"/>
          <w:sz w:val="24"/>
          <w:szCs w:val="24"/>
        </w:rPr>
        <w:tab/>
      </w:r>
      <w:r w:rsidR="00DC3806" w:rsidRPr="00DC3806">
        <w:rPr>
          <w:rFonts w:eastAsia="Arial"/>
          <w:sz w:val="24"/>
          <w:szCs w:val="24"/>
        </w:rPr>
        <w:t>Kegiatan pengabdian yang dilakukan berhasil meningkatkan pemahaman serta kesadaran masyarakat desa mongolato tentang PTM melalui edukasi tentang faktor risiko, pencegahan dan pengelolaan PTM. Dari kegiatan yang dilakukan menunjukkan hasil peningkatan signifikan dalam pengetahuan dan kesadaran masyarakat tentang PTM, sehingga bisa mengurangi risiko penyakit dan meningkatkan kualitas hidup.</w:t>
      </w:r>
    </w:p>
    <w:p w14:paraId="33DC9079" w14:textId="499C2538" w:rsidR="00A45AED" w:rsidRPr="00A847B9" w:rsidRDefault="00DC3806" w:rsidP="00A847B9">
      <w:pPr>
        <w:spacing w:line="360" w:lineRule="auto"/>
        <w:ind w:left="851"/>
        <w:jc w:val="both"/>
        <w:rPr>
          <w:rFonts w:eastAsia="Arial"/>
          <w:sz w:val="24"/>
          <w:szCs w:val="24"/>
        </w:rPr>
      </w:pPr>
      <w:r w:rsidRPr="00DC3806">
        <w:rPr>
          <w:rFonts w:eastAsia="Arial"/>
          <w:sz w:val="24"/>
          <w:szCs w:val="24"/>
        </w:rPr>
        <w:t>Sebagai tindak lanjut dari kegiatan pengabdian di Desa Mongolato, perlu dilakukan monitoring untuk mengevaluasi pemahaman masyarakat terkait PTM. Selain itu, pembentukan kelompok masyarakat peduli kesehatan dapat dilakukan untuk menyebarkan informasi dan mendukung kegiatan pencegahan secara berkelanjutan. Program edukasi rutin seperti penyuluhan atau workshop juga dapat diadakan untuk memperkuat pemahaman masyarakat. Kerja sama dengan pihak terkait, seperti Puskesmas atau dinas kesehatan, dapat membantu memastikan keberlanjutan program ini serta meningkatkan akses informasi dan sumber daya yang dibutuhkan.</w:t>
      </w:r>
    </w:p>
    <w:p w14:paraId="2F9F4355" w14:textId="77777777" w:rsidR="00A45AED" w:rsidRDefault="00A45AED">
      <w:pPr>
        <w:pStyle w:val="BodyText"/>
        <w:rPr>
          <w:sz w:val="29"/>
        </w:rPr>
      </w:pPr>
    </w:p>
    <w:p w14:paraId="0BE6D166" w14:textId="77777777" w:rsidR="00A45AED" w:rsidRDefault="00752542">
      <w:pPr>
        <w:pStyle w:val="Heading1"/>
        <w:ind w:firstLine="0"/>
        <w:jc w:val="both"/>
      </w:pPr>
      <w:r>
        <w:t>DAFTAR PUSTAKA</w:t>
      </w:r>
    </w:p>
    <w:p w14:paraId="36E5F08C"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Aminuddin, A., Yenny Sima, Nurril Cholifatul Izza, Nur Syamsi Norma Lalla, &amp; Darmi Arda. (2023). Edukasi Kesehatan Tentang Penyakit Diabetes Melitus bagi Masyarakat. </w:t>
      </w:r>
      <w:r w:rsidRPr="00A847B9">
        <w:rPr>
          <w:i/>
          <w:iCs/>
          <w:noProof/>
          <w:sz w:val="24"/>
          <w:szCs w:val="24"/>
        </w:rPr>
        <w:t>Abdimas Polsaka</w:t>
      </w:r>
      <w:r w:rsidRPr="00A847B9">
        <w:rPr>
          <w:noProof/>
          <w:sz w:val="24"/>
          <w:szCs w:val="24"/>
        </w:rPr>
        <w:t>, 7–12. https://doi.org/10.35816/abdimaspolsaka.v2i1.25</w:t>
      </w:r>
    </w:p>
    <w:p w14:paraId="2E49FAA9"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Asmin, E., Tahitu, R., Que, B. J., &amp; Astuty, E. (2021). Penyuluhan Penyakit Tidak Menular Pada Masyarakat. </w:t>
      </w:r>
      <w:r w:rsidRPr="00A847B9">
        <w:rPr>
          <w:i/>
          <w:iCs/>
          <w:noProof/>
          <w:sz w:val="24"/>
          <w:szCs w:val="24"/>
        </w:rPr>
        <w:t>Community Development Journal : Jurnal Pengabdian Masyarakat</w:t>
      </w:r>
      <w:r w:rsidRPr="00A847B9">
        <w:rPr>
          <w:noProof/>
          <w:sz w:val="24"/>
          <w:szCs w:val="24"/>
        </w:rPr>
        <w:t xml:space="preserve">, </w:t>
      </w:r>
      <w:r w:rsidRPr="00A847B9">
        <w:rPr>
          <w:i/>
          <w:iCs/>
          <w:noProof/>
          <w:sz w:val="24"/>
          <w:szCs w:val="24"/>
        </w:rPr>
        <w:t>2</w:t>
      </w:r>
      <w:r w:rsidRPr="00A847B9">
        <w:rPr>
          <w:noProof/>
          <w:sz w:val="24"/>
          <w:szCs w:val="24"/>
        </w:rPr>
        <w:t>(3), 940–944. https://doi.org/10.31004/cdj.v2i3.2769</w:t>
      </w:r>
    </w:p>
    <w:p w14:paraId="6721EA07"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Dulahu, W., Suryaningsi, D., &amp; Mursyidah, A. (2021). Deteksi Dini Dan Edukasi Penyakit Tidak Menular Dalam Upaya Mendukung Pencapaian Sdg’S Menuju </w:t>
      </w:r>
      <w:r w:rsidRPr="00A847B9">
        <w:rPr>
          <w:noProof/>
          <w:sz w:val="24"/>
          <w:szCs w:val="24"/>
        </w:rPr>
        <w:lastRenderedPageBreak/>
        <w:t xml:space="preserve">Desa Sehat. </w:t>
      </w:r>
      <w:r w:rsidRPr="00A847B9">
        <w:rPr>
          <w:i/>
          <w:iCs/>
          <w:noProof/>
          <w:sz w:val="24"/>
          <w:szCs w:val="24"/>
        </w:rPr>
        <w:t>Jurnal Pengabdian Kepada Masyarakat Ungu( ABDI KE UNGU)</w:t>
      </w:r>
      <w:r w:rsidRPr="00A847B9">
        <w:rPr>
          <w:noProof/>
          <w:sz w:val="24"/>
          <w:szCs w:val="24"/>
        </w:rPr>
        <w:t xml:space="preserve">, </w:t>
      </w:r>
      <w:r w:rsidRPr="00A847B9">
        <w:rPr>
          <w:i/>
          <w:iCs/>
          <w:noProof/>
          <w:sz w:val="24"/>
          <w:szCs w:val="24"/>
        </w:rPr>
        <w:t>3</w:t>
      </w:r>
      <w:r w:rsidRPr="00A847B9">
        <w:rPr>
          <w:noProof/>
          <w:sz w:val="24"/>
          <w:szCs w:val="24"/>
        </w:rPr>
        <w:t>(3), 111–120. https://doi.org/10.30604/abdi.v3i3.369</w:t>
      </w:r>
    </w:p>
    <w:p w14:paraId="2FD1CE08"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Ekasari, E., &amp; Dhanny, D. R. (2022). Faktor Yang Mempengaruhi Kadar Glukosa Darah Penderita Diabetes Melitus Tipe Ii Usia 46-65 Tahun Di Kabupaten Wakatobi. </w:t>
      </w:r>
      <w:r w:rsidRPr="00A847B9">
        <w:rPr>
          <w:i/>
          <w:iCs/>
          <w:noProof/>
          <w:sz w:val="24"/>
          <w:szCs w:val="24"/>
        </w:rPr>
        <w:t>Journal of Nutrition College</w:t>
      </w:r>
      <w:r w:rsidRPr="00A847B9">
        <w:rPr>
          <w:noProof/>
          <w:sz w:val="24"/>
          <w:szCs w:val="24"/>
        </w:rPr>
        <w:t xml:space="preserve">, </w:t>
      </w:r>
      <w:r w:rsidRPr="00A847B9">
        <w:rPr>
          <w:i/>
          <w:iCs/>
          <w:noProof/>
          <w:sz w:val="24"/>
          <w:szCs w:val="24"/>
        </w:rPr>
        <w:t>11</w:t>
      </w:r>
      <w:r w:rsidRPr="00A847B9">
        <w:rPr>
          <w:noProof/>
          <w:sz w:val="24"/>
          <w:szCs w:val="24"/>
        </w:rPr>
        <w:t>(2), 154–162. https://doi.org/10.14710/jnc.v11i2.32881</w:t>
      </w:r>
    </w:p>
    <w:p w14:paraId="1ED9DC01"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Emi Inayah Sari Siregar. (2022). Systematic Review Hubungan Pola Makan Dengan Kejadian Hipertensi Pada Lansia. </w:t>
      </w:r>
      <w:r w:rsidRPr="00A847B9">
        <w:rPr>
          <w:i/>
          <w:iCs/>
          <w:noProof/>
          <w:sz w:val="24"/>
          <w:szCs w:val="24"/>
        </w:rPr>
        <w:t>Jurnal Ilmiah PANNMED (Pharmacist, Analyst, Nurse, Nutrition, Midwivery, Environment, Dentist)</w:t>
      </w:r>
      <w:r w:rsidRPr="00A847B9">
        <w:rPr>
          <w:noProof/>
          <w:sz w:val="24"/>
          <w:szCs w:val="24"/>
        </w:rPr>
        <w:t xml:space="preserve">, </w:t>
      </w:r>
      <w:r w:rsidRPr="00A847B9">
        <w:rPr>
          <w:i/>
          <w:iCs/>
          <w:noProof/>
          <w:sz w:val="24"/>
          <w:szCs w:val="24"/>
        </w:rPr>
        <w:t>17</w:t>
      </w:r>
      <w:r w:rsidRPr="00A847B9">
        <w:rPr>
          <w:noProof/>
          <w:sz w:val="24"/>
          <w:szCs w:val="24"/>
        </w:rPr>
        <w:t>(1), 202–209. https://doi.org/10.36911/pannmed.v17i1.1296</w:t>
      </w:r>
    </w:p>
    <w:p w14:paraId="0FC2578D"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Fiana, F. K., &amp; Indarjo, S. (2024). Analisis Faktor-Faktor yang Memengaruhi Kejadian Hipertensi. </w:t>
      </w:r>
      <w:r w:rsidRPr="00A847B9">
        <w:rPr>
          <w:i/>
          <w:iCs/>
          <w:noProof/>
          <w:sz w:val="24"/>
          <w:szCs w:val="24"/>
        </w:rPr>
        <w:t>HIGEIA (Journal of Public Health Research and Development)</w:t>
      </w:r>
      <w:r w:rsidRPr="00A847B9">
        <w:rPr>
          <w:noProof/>
          <w:sz w:val="24"/>
          <w:szCs w:val="24"/>
        </w:rPr>
        <w:t xml:space="preserve">, </w:t>
      </w:r>
      <w:r w:rsidRPr="00A847B9">
        <w:rPr>
          <w:i/>
          <w:iCs/>
          <w:noProof/>
          <w:sz w:val="24"/>
          <w:szCs w:val="24"/>
        </w:rPr>
        <w:t>8</w:t>
      </w:r>
      <w:r w:rsidRPr="00A847B9">
        <w:rPr>
          <w:noProof/>
          <w:sz w:val="24"/>
          <w:szCs w:val="24"/>
        </w:rPr>
        <w:t>(1), 1–11. https://doi.org/10.15294/higeia.v8i1.67857</w:t>
      </w:r>
    </w:p>
    <w:p w14:paraId="2DA57D69"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Ifalahma, D., Hikmah, N., Yuliana, A., &amp; ... (2023). Deteksi Penyakit Tidak Menular Dan Upaya Pencegahan Pada Warga Kelurahan Sondakan Laweyan Surakarta. </w:t>
      </w:r>
      <w:r w:rsidRPr="00A847B9">
        <w:rPr>
          <w:i/>
          <w:iCs/>
          <w:noProof/>
          <w:sz w:val="24"/>
          <w:szCs w:val="24"/>
        </w:rPr>
        <w:t>Jurnal Abdimas …</w:t>
      </w:r>
      <w:r w:rsidRPr="00A847B9">
        <w:rPr>
          <w:noProof/>
          <w:sz w:val="24"/>
          <w:szCs w:val="24"/>
        </w:rPr>
        <w:t xml:space="preserve">, </w:t>
      </w:r>
      <w:r w:rsidRPr="00A847B9">
        <w:rPr>
          <w:i/>
          <w:iCs/>
          <w:noProof/>
          <w:sz w:val="24"/>
          <w:szCs w:val="24"/>
        </w:rPr>
        <w:t>4</w:t>
      </w:r>
      <w:r w:rsidRPr="00A847B9">
        <w:rPr>
          <w:noProof/>
          <w:sz w:val="24"/>
          <w:szCs w:val="24"/>
        </w:rPr>
        <w:t>(1), 835–840. https://jabb.lppmbinabangsa.id/index.php/jabb/article/view/519%0Ahttps://jabb.lppmbinabangsa.id/index.php/jabb/article/download/519/280</w:t>
      </w:r>
    </w:p>
    <w:p w14:paraId="40C90008"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Nurul Aula, S. K. (2020). Peran Tokoh Agama Dalam Memutus Rantai Pandemi Covid-19 Di Media Online Indonesia. </w:t>
      </w:r>
      <w:r w:rsidRPr="00A847B9">
        <w:rPr>
          <w:i/>
          <w:iCs/>
          <w:noProof/>
          <w:sz w:val="24"/>
          <w:szCs w:val="24"/>
        </w:rPr>
        <w:t>Living Islam: Journal of Islamic Discourses</w:t>
      </w:r>
      <w:r w:rsidRPr="00A847B9">
        <w:rPr>
          <w:noProof/>
          <w:sz w:val="24"/>
          <w:szCs w:val="24"/>
        </w:rPr>
        <w:t xml:space="preserve">, </w:t>
      </w:r>
      <w:r w:rsidRPr="00A847B9">
        <w:rPr>
          <w:i/>
          <w:iCs/>
          <w:noProof/>
          <w:sz w:val="24"/>
          <w:szCs w:val="24"/>
        </w:rPr>
        <w:t>3</w:t>
      </w:r>
      <w:r w:rsidRPr="00A847B9">
        <w:rPr>
          <w:noProof/>
          <w:sz w:val="24"/>
          <w:szCs w:val="24"/>
        </w:rPr>
        <w:t>(1), 125. https://doi.org/10.14421/lijid.v3i1.2224</w:t>
      </w:r>
    </w:p>
    <w:p w14:paraId="2709D6BB"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Purqoti, D. N., Baiq Rulli Fatmawati, Zaenal arifin, Ilham, Zuliardi, &amp; Harlina putri Rusiana. (2022). Peningkatan Pengetahuan Penyakit Tidak Menular (PTM) Pada Masyarakat Resiko Tinggi Melalui Pendidikan Kesehatan. </w:t>
      </w:r>
      <w:r w:rsidRPr="00A847B9">
        <w:rPr>
          <w:i/>
          <w:iCs/>
          <w:noProof/>
          <w:sz w:val="24"/>
          <w:szCs w:val="24"/>
        </w:rPr>
        <w:t>LOSARI: Jurnal Pengabdian Kepada Masyarakat</w:t>
      </w:r>
      <w:r w:rsidRPr="00A847B9">
        <w:rPr>
          <w:noProof/>
          <w:sz w:val="24"/>
          <w:szCs w:val="24"/>
        </w:rPr>
        <w:t xml:space="preserve">, </w:t>
      </w:r>
      <w:r w:rsidRPr="00A847B9">
        <w:rPr>
          <w:i/>
          <w:iCs/>
          <w:noProof/>
          <w:sz w:val="24"/>
          <w:szCs w:val="24"/>
        </w:rPr>
        <w:t>4</w:t>
      </w:r>
      <w:r w:rsidRPr="00A847B9">
        <w:rPr>
          <w:noProof/>
          <w:sz w:val="24"/>
          <w:szCs w:val="24"/>
        </w:rPr>
        <w:t>(2), 99–104. https://doi.org/10.53860/losari.v4i2.108</w:t>
      </w:r>
    </w:p>
    <w:p w14:paraId="30FBEE67" w14:textId="3F7F8652" w:rsidR="00A45AED" w:rsidRPr="00A847B9" w:rsidRDefault="00A847B9" w:rsidP="00A847B9">
      <w:pPr>
        <w:spacing w:before="36" w:line="276" w:lineRule="auto"/>
        <w:ind w:left="1276" w:right="115" w:hanging="480"/>
        <w:jc w:val="both"/>
        <w:rPr>
          <w:noProof/>
          <w:sz w:val="24"/>
          <w:szCs w:val="24"/>
        </w:rPr>
      </w:pPr>
      <w:r w:rsidRPr="00A847B9">
        <w:rPr>
          <w:noProof/>
          <w:sz w:val="24"/>
          <w:szCs w:val="24"/>
        </w:rPr>
        <w:t xml:space="preserve">Rahmawati, D. (2024). Kualitas Hidup Pasien Diabetes Melitus dan Hipertensi dalam Program Penyakit Kronis (Prolanis) di Indonesia: Narative Review. </w:t>
      </w:r>
      <w:r w:rsidRPr="00A847B9">
        <w:rPr>
          <w:i/>
          <w:iCs/>
          <w:noProof/>
          <w:sz w:val="24"/>
          <w:szCs w:val="24"/>
        </w:rPr>
        <w:t>Jurnal Mandala Pharmacon Indonesia</w:t>
      </w:r>
      <w:r w:rsidRPr="00A847B9">
        <w:rPr>
          <w:noProof/>
          <w:sz w:val="24"/>
          <w:szCs w:val="24"/>
        </w:rPr>
        <w:t xml:space="preserve">, </w:t>
      </w:r>
      <w:r w:rsidRPr="00A847B9">
        <w:rPr>
          <w:i/>
          <w:iCs/>
          <w:noProof/>
          <w:sz w:val="24"/>
          <w:szCs w:val="24"/>
        </w:rPr>
        <w:t>10</w:t>
      </w:r>
      <w:r w:rsidRPr="00A847B9">
        <w:rPr>
          <w:noProof/>
          <w:sz w:val="24"/>
          <w:szCs w:val="24"/>
        </w:rPr>
        <w:t>(1), 116–122. http://www.jurnal-pharmaconmw.com/jmpi/index.php/jmpi/article/view/531%0Ahttps://www.jurnal-pharmaconmw.com/jmpi/index.php/jmpi/article/download/531/230</w:t>
      </w:r>
    </w:p>
    <w:p w14:paraId="3BD774F4"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Studi, P., Kesehatan, I., Universitas, P., &amp; Ratulangi, S. (2024). </w:t>
      </w:r>
      <w:r w:rsidRPr="00A847B9">
        <w:rPr>
          <w:i/>
          <w:iCs/>
          <w:noProof/>
          <w:sz w:val="24"/>
          <w:szCs w:val="24"/>
        </w:rPr>
        <w:t xml:space="preserve">Faktor-Faktor Risiko Yang Berhubungan Dengan Penyakit Tidak Menular Hipertensi Dan Diabetes </w:t>
      </w:r>
      <w:r w:rsidRPr="00A847B9">
        <w:rPr>
          <w:i/>
          <w:iCs/>
          <w:noProof/>
          <w:sz w:val="24"/>
          <w:szCs w:val="24"/>
        </w:rPr>
        <w:lastRenderedPageBreak/>
        <w:t>Mellitus Pada Karyawan Pt . Samudra Mandiri Sentosa</w:t>
      </w:r>
      <w:r w:rsidRPr="00A847B9">
        <w:rPr>
          <w:noProof/>
          <w:sz w:val="24"/>
          <w:szCs w:val="24"/>
        </w:rPr>
        <w:t xml:space="preserve">. </w:t>
      </w:r>
      <w:r w:rsidRPr="00A847B9">
        <w:rPr>
          <w:i/>
          <w:iCs/>
          <w:noProof/>
          <w:sz w:val="24"/>
          <w:szCs w:val="24"/>
        </w:rPr>
        <w:t>5</w:t>
      </w:r>
      <w:r w:rsidRPr="00A847B9">
        <w:rPr>
          <w:noProof/>
          <w:sz w:val="24"/>
          <w:szCs w:val="24"/>
        </w:rPr>
        <w:t>(September), 5887–5897.</w:t>
      </w:r>
    </w:p>
    <w:p w14:paraId="53AE8DCE" w14:textId="77777777" w:rsidR="00A847B9" w:rsidRPr="00A847B9" w:rsidRDefault="00A847B9" w:rsidP="00A847B9">
      <w:pPr>
        <w:adjustRightInd w:val="0"/>
        <w:spacing w:line="360" w:lineRule="auto"/>
        <w:ind w:left="1276" w:hanging="480"/>
        <w:jc w:val="both"/>
        <w:rPr>
          <w:noProof/>
          <w:sz w:val="24"/>
          <w:szCs w:val="24"/>
        </w:rPr>
      </w:pPr>
      <w:r w:rsidRPr="00A847B9">
        <w:rPr>
          <w:noProof/>
          <w:sz w:val="24"/>
          <w:szCs w:val="24"/>
        </w:rPr>
        <w:t xml:space="preserve">Zulsefriandi, R., Alamsyah, A., &amp; Vita Gloria Purba, C. (2023). Deteksi Dini Penyakit Tidak Menular Dengan Melakukan Pemeriksaan Kesehatan dan Edukasi Kesehatan. </w:t>
      </w:r>
      <w:r w:rsidRPr="00A847B9">
        <w:rPr>
          <w:i/>
          <w:iCs/>
          <w:noProof/>
          <w:sz w:val="24"/>
          <w:szCs w:val="24"/>
        </w:rPr>
        <w:t>Jurnal Pengabdian UntukMu NegeRI</w:t>
      </w:r>
      <w:r w:rsidRPr="00A847B9">
        <w:rPr>
          <w:noProof/>
          <w:sz w:val="24"/>
          <w:szCs w:val="24"/>
        </w:rPr>
        <w:t xml:space="preserve">, </w:t>
      </w:r>
      <w:r w:rsidRPr="00A847B9">
        <w:rPr>
          <w:i/>
          <w:iCs/>
          <w:noProof/>
          <w:sz w:val="24"/>
          <w:szCs w:val="24"/>
        </w:rPr>
        <w:t>7</w:t>
      </w:r>
      <w:r w:rsidRPr="00A847B9">
        <w:rPr>
          <w:noProof/>
          <w:sz w:val="24"/>
          <w:szCs w:val="24"/>
        </w:rPr>
        <w:t>(2), 192–196. https://doi.org/10.37859/jpumri.v7i2.5390</w:t>
      </w:r>
    </w:p>
    <w:p w14:paraId="156E18FA" w14:textId="77777777" w:rsidR="00A847B9" w:rsidRPr="00A847B9" w:rsidRDefault="00A847B9" w:rsidP="00A847B9">
      <w:pPr>
        <w:spacing w:before="36" w:line="276" w:lineRule="auto"/>
        <w:ind w:left="1276" w:right="115" w:hanging="480"/>
        <w:jc w:val="both"/>
        <w:rPr>
          <w:sz w:val="24"/>
          <w:szCs w:val="24"/>
        </w:rPr>
      </w:pPr>
    </w:p>
    <w:sectPr w:rsidR="00A847B9" w:rsidRPr="00A847B9" w:rsidSect="00903A23">
      <w:headerReference w:type="default" r:id="rId9"/>
      <w:footerReference w:type="default" r:id="rId10"/>
      <w:pgSz w:w="11910" w:h="16840"/>
      <w:pgMar w:top="1701" w:right="1134" w:bottom="170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B63C2" w14:textId="77777777" w:rsidR="007A18C8" w:rsidRDefault="007A18C8" w:rsidP="00D60BEA">
      <w:r>
        <w:separator/>
      </w:r>
    </w:p>
  </w:endnote>
  <w:endnote w:type="continuationSeparator" w:id="0">
    <w:p w14:paraId="5B152373" w14:textId="77777777" w:rsidR="007A18C8" w:rsidRDefault="007A18C8" w:rsidP="00D60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tura MT Script Capitals">
    <w:panose1 w:val="03020802060602070202"/>
    <w:charset w:val="00"/>
    <w:family w:val="script"/>
    <w:pitch w:val="variable"/>
    <w:sig w:usb0="00000003" w:usb1="00000000" w:usb2="00000000" w:usb3="00000000" w:csb0="00000001" w:csb1="00000000"/>
  </w:font>
  <w:font w:name="Lucida Fax">
    <w:panose1 w:val="02060602050505020204"/>
    <w:charset w:val="00"/>
    <w:family w:val="roman"/>
    <w:pitch w:val="variable"/>
    <w:sig w:usb0="00000003" w:usb1="00000000" w:usb2="00000000" w:usb3="00000000" w:csb0="00000001" w:csb1="00000000"/>
  </w:font>
  <w:font w:name="Modern No. 20">
    <w:panose1 w:val="02070704070505020303"/>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217613"/>
      <w:docPartObj>
        <w:docPartGallery w:val="Page Numbers (Bottom of Page)"/>
        <w:docPartUnique/>
      </w:docPartObj>
    </w:sdtPr>
    <w:sdtEndPr>
      <w:rPr>
        <w:noProof/>
        <w:sz w:val="24"/>
        <w:szCs w:val="24"/>
      </w:rPr>
    </w:sdtEndPr>
    <w:sdtContent>
      <w:p w14:paraId="0B2587CA" w14:textId="77777777" w:rsidR="00903A23" w:rsidRPr="00903A23" w:rsidRDefault="00903A23">
        <w:pPr>
          <w:pStyle w:val="Footer"/>
          <w:jc w:val="right"/>
          <w:rPr>
            <w:sz w:val="24"/>
            <w:szCs w:val="24"/>
          </w:rPr>
        </w:pPr>
        <w:r w:rsidRPr="00903A23">
          <w:rPr>
            <w:sz w:val="24"/>
            <w:szCs w:val="24"/>
          </w:rPr>
          <w:fldChar w:fldCharType="begin"/>
        </w:r>
        <w:r w:rsidRPr="00903A23">
          <w:rPr>
            <w:sz w:val="24"/>
            <w:szCs w:val="24"/>
          </w:rPr>
          <w:instrText xml:space="preserve"> PAGE   \* MERGEFORMAT </w:instrText>
        </w:r>
        <w:r w:rsidRPr="00903A23">
          <w:rPr>
            <w:sz w:val="24"/>
            <w:szCs w:val="24"/>
          </w:rPr>
          <w:fldChar w:fldCharType="separate"/>
        </w:r>
        <w:r w:rsidR="00404B5B">
          <w:rPr>
            <w:noProof/>
            <w:sz w:val="24"/>
            <w:szCs w:val="24"/>
          </w:rPr>
          <w:t>2</w:t>
        </w:r>
        <w:r w:rsidRPr="00903A23">
          <w:rPr>
            <w:noProof/>
            <w:sz w:val="24"/>
            <w:szCs w:val="24"/>
          </w:rPr>
          <w:fldChar w:fldCharType="end"/>
        </w:r>
      </w:p>
    </w:sdtContent>
  </w:sdt>
  <w:p w14:paraId="39D6FF10" w14:textId="77777777" w:rsidR="00903A23" w:rsidRDefault="00903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6B3D6" w14:textId="77777777" w:rsidR="007A18C8" w:rsidRDefault="007A18C8" w:rsidP="00D60BEA">
      <w:r>
        <w:separator/>
      </w:r>
    </w:p>
  </w:footnote>
  <w:footnote w:type="continuationSeparator" w:id="0">
    <w:p w14:paraId="484E0DBB" w14:textId="77777777" w:rsidR="007A18C8" w:rsidRDefault="007A18C8" w:rsidP="00D60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2BE6" w14:textId="77777777" w:rsidR="00D60BEA" w:rsidRPr="00B83B8E" w:rsidRDefault="00D60BEA" w:rsidP="00D60BEA">
    <w:pPr>
      <w:pStyle w:val="Header"/>
      <w:rPr>
        <w:rFonts w:ascii="Monotype Corsiva" w:hAnsi="Monotype Corsiva"/>
      </w:rPr>
    </w:pPr>
    <w:r w:rsidRPr="00B83B8E">
      <w:rPr>
        <w:rFonts w:ascii="Monotype Corsiva" w:hAnsi="Monotype Corsiva"/>
      </w:rPr>
      <w:t xml:space="preserve">Insan Cita </w:t>
    </w:r>
  </w:p>
  <w:p w14:paraId="406FEB4D" w14:textId="77777777" w:rsidR="00D60BEA" w:rsidRPr="00B83B8E" w:rsidRDefault="00D60BEA" w:rsidP="00D60BEA">
    <w:pPr>
      <w:pStyle w:val="Header"/>
    </w:pPr>
    <w:r w:rsidRPr="00B83B8E">
      <w:rPr>
        <w:rFonts w:ascii="Monotype Corsiva" w:hAnsi="Monotype Corsiva"/>
      </w:rPr>
      <w:t>Jurnal Pengabdian Kepada Masyarakat</w:t>
    </w:r>
  </w:p>
  <w:p w14:paraId="20A2AD29" w14:textId="77777777" w:rsidR="00D60BEA" w:rsidRDefault="00D60B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21F65"/>
    <w:multiLevelType w:val="multilevel"/>
    <w:tmpl w:val="1318C2A8"/>
    <w:lvl w:ilvl="0">
      <w:start w:val="1"/>
      <w:numFmt w:val="decimal"/>
      <w:lvlText w:val="%1."/>
      <w:lvlJc w:val="left"/>
      <w:pPr>
        <w:ind w:left="820" w:hanging="360"/>
        <w:jc w:val="left"/>
      </w:pPr>
      <w:rPr>
        <w:rFonts w:ascii="Times New Roman" w:eastAsia="Times New Roman" w:hAnsi="Times New Roman" w:cs="Times New Roman" w:hint="default"/>
        <w:b/>
        <w:bCs/>
        <w:spacing w:val="-2"/>
        <w:w w:val="99"/>
        <w:sz w:val="24"/>
        <w:szCs w:val="24"/>
        <w:lang w:val="id" w:eastAsia="en-US" w:bidi="ar-SA"/>
      </w:rPr>
    </w:lvl>
    <w:lvl w:ilvl="1">
      <w:start w:val="1"/>
      <w:numFmt w:val="decimal"/>
      <w:lvlText w:val="%1.%2"/>
      <w:lvlJc w:val="left"/>
      <w:pPr>
        <w:ind w:left="888" w:hanging="360"/>
        <w:jc w:val="left"/>
      </w:pPr>
      <w:rPr>
        <w:rFonts w:ascii="Times New Roman" w:eastAsia="Times New Roman" w:hAnsi="Times New Roman" w:cs="Times New Roman" w:hint="default"/>
        <w:b/>
        <w:bCs/>
        <w:spacing w:val="0"/>
        <w:w w:val="100"/>
        <w:sz w:val="22"/>
        <w:szCs w:val="22"/>
        <w:lang w:val="id" w:eastAsia="en-US" w:bidi="ar-SA"/>
      </w:rPr>
    </w:lvl>
    <w:lvl w:ilvl="2">
      <w:numFmt w:val="bullet"/>
      <w:lvlText w:val="•"/>
      <w:lvlJc w:val="left"/>
      <w:pPr>
        <w:ind w:left="1809" w:hanging="360"/>
      </w:pPr>
      <w:rPr>
        <w:rFonts w:hint="default"/>
        <w:lang w:val="id" w:eastAsia="en-US" w:bidi="ar-SA"/>
      </w:rPr>
    </w:lvl>
    <w:lvl w:ilvl="3">
      <w:numFmt w:val="bullet"/>
      <w:lvlText w:val="•"/>
      <w:lvlJc w:val="left"/>
      <w:pPr>
        <w:ind w:left="2739" w:hanging="360"/>
      </w:pPr>
      <w:rPr>
        <w:rFonts w:hint="default"/>
        <w:lang w:val="id" w:eastAsia="en-US" w:bidi="ar-SA"/>
      </w:rPr>
    </w:lvl>
    <w:lvl w:ilvl="4">
      <w:numFmt w:val="bullet"/>
      <w:lvlText w:val="•"/>
      <w:lvlJc w:val="left"/>
      <w:pPr>
        <w:ind w:left="3669" w:hanging="360"/>
      </w:pPr>
      <w:rPr>
        <w:rFonts w:hint="default"/>
        <w:lang w:val="id" w:eastAsia="en-US" w:bidi="ar-SA"/>
      </w:rPr>
    </w:lvl>
    <w:lvl w:ilvl="5">
      <w:numFmt w:val="bullet"/>
      <w:lvlText w:val="•"/>
      <w:lvlJc w:val="left"/>
      <w:pPr>
        <w:ind w:left="4599" w:hanging="360"/>
      </w:pPr>
      <w:rPr>
        <w:rFonts w:hint="default"/>
        <w:lang w:val="id" w:eastAsia="en-US" w:bidi="ar-SA"/>
      </w:rPr>
    </w:lvl>
    <w:lvl w:ilvl="6">
      <w:numFmt w:val="bullet"/>
      <w:lvlText w:val="•"/>
      <w:lvlJc w:val="left"/>
      <w:pPr>
        <w:ind w:left="5528" w:hanging="360"/>
      </w:pPr>
      <w:rPr>
        <w:rFonts w:hint="default"/>
        <w:lang w:val="id" w:eastAsia="en-US" w:bidi="ar-SA"/>
      </w:rPr>
    </w:lvl>
    <w:lvl w:ilvl="7">
      <w:numFmt w:val="bullet"/>
      <w:lvlText w:val="•"/>
      <w:lvlJc w:val="left"/>
      <w:pPr>
        <w:ind w:left="6458" w:hanging="360"/>
      </w:pPr>
      <w:rPr>
        <w:rFonts w:hint="default"/>
        <w:lang w:val="id" w:eastAsia="en-US" w:bidi="ar-SA"/>
      </w:rPr>
    </w:lvl>
    <w:lvl w:ilvl="8">
      <w:numFmt w:val="bullet"/>
      <w:lvlText w:val="•"/>
      <w:lvlJc w:val="left"/>
      <w:pPr>
        <w:ind w:left="7388" w:hanging="360"/>
      </w:pPr>
      <w:rPr>
        <w:rFonts w:hint="default"/>
        <w:lang w:val="id" w:eastAsia="en-US" w:bidi="ar-SA"/>
      </w:rPr>
    </w:lvl>
  </w:abstractNum>
  <w:num w:numId="1" w16cid:durableId="1290211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AED"/>
    <w:rsid w:val="0012527E"/>
    <w:rsid w:val="00151EB9"/>
    <w:rsid w:val="00155ECF"/>
    <w:rsid w:val="001F28CD"/>
    <w:rsid w:val="003318D1"/>
    <w:rsid w:val="0036283C"/>
    <w:rsid w:val="00404B5B"/>
    <w:rsid w:val="004327EA"/>
    <w:rsid w:val="00444242"/>
    <w:rsid w:val="004B3C70"/>
    <w:rsid w:val="00522077"/>
    <w:rsid w:val="0056502F"/>
    <w:rsid w:val="005E1BC3"/>
    <w:rsid w:val="005E3461"/>
    <w:rsid w:val="006F3E26"/>
    <w:rsid w:val="00702D2C"/>
    <w:rsid w:val="00752542"/>
    <w:rsid w:val="00757639"/>
    <w:rsid w:val="00765452"/>
    <w:rsid w:val="007A18C8"/>
    <w:rsid w:val="00822877"/>
    <w:rsid w:val="008C3B87"/>
    <w:rsid w:val="008C50E9"/>
    <w:rsid w:val="008E053A"/>
    <w:rsid w:val="00903A23"/>
    <w:rsid w:val="00973F5F"/>
    <w:rsid w:val="0099087F"/>
    <w:rsid w:val="009E0B0D"/>
    <w:rsid w:val="009E7130"/>
    <w:rsid w:val="009F3736"/>
    <w:rsid w:val="00A45AED"/>
    <w:rsid w:val="00A847B9"/>
    <w:rsid w:val="00C07766"/>
    <w:rsid w:val="00C76769"/>
    <w:rsid w:val="00D60BEA"/>
    <w:rsid w:val="00DC3806"/>
    <w:rsid w:val="00ED786F"/>
    <w:rsid w:val="00EE6760"/>
    <w:rsid w:val="00F73F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DA1D9"/>
  <w15:docId w15:val="{FF291093-41DB-4272-9A2F-8399A0763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820" w:hanging="361"/>
      <w:outlineLvl w:val="0"/>
    </w:pPr>
    <w:rPr>
      <w:b/>
      <w:bCs/>
      <w:sz w:val="24"/>
      <w:szCs w:val="24"/>
    </w:rPr>
  </w:style>
  <w:style w:type="paragraph" w:styleId="Heading2">
    <w:name w:val="heading 2"/>
    <w:basedOn w:val="Normal"/>
    <w:uiPriority w:val="1"/>
    <w:qFormat/>
    <w:pPr>
      <w:ind w:left="888" w:hanging="361"/>
      <w:outlineLvl w:val="1"/>
    </w:pPr>
    <w:rPr>
      <w:b/>
      <w:bCs/>
    </w:rPr>
  </w:style>
  <w:style w:type="paragraph" w:styleId="Heading3">
    <w:name w:val="heading 3"/>
    <w:basedOn w:val="Normal"/>
    <w:uiPriority w:val="1"/>
    <w:qFormat/>
    <w:pPr>
      <w:ind w:left="1933" w:right="1946"/>
      <w:jc w:val="center"/>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22877"/>
    <w:rPr>
      <w:rFonts w:ascii="Tahoma" w:hAnsi="Tahoma" w:cs="Tahoma"/>
      <w:sz w:val="16"/>
      <w:szCs w:val="16"/>
    </w:rPr>
  </w:style>
  <w:style w:type="character" w:customStyle="1" w:styleId="BalloonTextChar">
    <w:name w:val="Balloon Text Char"/>
    <w:basedOn w:val="DefaultParagraphFont"/>
    <w:link w:val="BalloonText"/>
    <w:uiPriority w:val="99"/>
    <w:semiHidden/>
    <w:rsid w:val="00822877"/>
    <w:rPr>
      <w:rFonts w:ascii="Tahoma" w:eastAsia="Times New Roman" w:hAnsi="Tahoma" w:cs="Tahoma"/>
      <w:sz w:val="16"/>
      <w:szCs w:val="16"/>
      <w:lang w:val="id"/>
    </w:rPr>
  </w:style>
  <w:style w:type="paragraph" w:styleId="Header">
    <w:name w:val="header"/>
    <w:basedOn w:val="Normal"/>
    <w:link w:val="HeaderChar"/>
    <w:uiPriority w:val="99"/>
    <w:unhideWhenUsed/>
    <w:rsid w:val="00D60BEA"/>
    <w:pPr>
      <w:tabs>
        <w:tab w:val="center" w:pos="4513"/>
        <w:tab w:val="right" w:pos="9026"/>
      </w:tabs>
    </w:pPr>
  </w:style>
  <w:style w:type="character" w:customStyle="1" w:styleId="HeaderChar">
    <w:name w:val="Header Char"/>
    <w:basedOn w:val="DefaultParagraphFont"/>
    <w:link w:val="Header"/>
    <w:uiPriority w:val="99"/>
    <w:rsid w:val="00D60BEA"/>
    <w:rPr>
      <w:rFonts w:ascii="Times New Roman" w:eastAsia="Times New Roman" w:hAnsi="Times New Roman" w:cs="Times New Roman"/>
      <w:lang w:val="id"/>
    </w:rPr>
  </w:style>
  <w:style w:type="paragraph" w:styleId="Footer">
    <w:name w:val="footer"/>
    <w:basedOn w:val="Normal"/>
    <w:link w:val="FooterChar"/>
    <w:uiPriority w:val="99"/>
    <w:unhideWhenUsed/>
    <w:rsid w:val="00D60BEA"/>
    <w:pPr>
      <w:tabs>
        <w:tab w:val="center" w:pos="4513"/>
        <w:tab w:val="right" w:pos="9026"/>
      </w:tabs>
    </w:pPr>
  </w:style>
  <w:style w:type="character" w:customStyle="1" w:styleId="FooterChar">
    <w:name w:val="Footer Char"/>
    <w:basedOn w:val="DefaultParagraphFont"/>
    <w:link w:val="Footer"/>
    <w:uiPriority w:val="99"/>
    <w:rsid w:val="00D60BEA"/>
    <w:rPr>
      <w:rFonts w:ascii="Times New Roman" w:eastAsia="Times New Roman" w:hAnsi="Times New Roman" w:cs="Times New Roman"/>
      <w:lang w:val="id"/>
    </w:rPr>
  </w:style>
  <w:style w:type="character" w:styleId="Hyperlink">
    <w:name w:val="Hyperlink"/>
    <w:basedOn w:val="DefaultParagraphFont"/>
    <w:uiPriority w:val="99"/>
    <w:unhideWhenUsed/>
    <w:rsid w:val="0012527E"/>
    <w:rPr>
      <w:color w:val="0000FF" w:themeColor="hyperlink"/>
      <w:u w:val="single"/>
    </w:rPr>
  </w:style>
  <w:style w:type="character" w:styleId="UnresolvedMention">
    <w:name w:val="Unresolved Mention"/>
    <w:basedOn w:val="DefaultParagraphFont"/>
    <w:uiPriority w:val="99"/>
    <w:semiHidden/>
    <w:unhideWhenUsed/>
    <w:rsid w:val="001252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mailto:anggintbo1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pretes</a:t>
            </a:r>
            <a:r>
              <a:rPr lang="en-US" baseline="0"/>
              <a:t> dan posttest</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0996599338126213"/>
          <c:y val="0.22956094900463594"/>
          <c:w val="0.79728038343033203"/>
          <c:h val="0.67118479565565625"/>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7030A0"/>
              </a:solidFill>
              <a:ln>
                <a:noFill/>
              </a:ln>
              <a:effectLst/>
            </c:spPr>
            <c:extLst>
              <c:ext xmlns:c16="http://schemas.microsoft.com/office/drawing/2014/chart" uri="{C3380CC4-5D6E-409C-BE32-E72D297353CC}">
                <c16:uniqueId val="{00000001-2814-4392-B83D-B627C6CB1802}"/>
              </c:ext>
            </c:extLst>
          </c:dPt>
          <c:dPt>
            <c:idx val="1"/>
            <c:invertIfNegative val="0"/>
            <c:bubble3D val="0"/>
            <c:spPr>
              <a:solidFill>
                <a:srgbClr val="7030A0"/>
              </a:solidFill>
              <a:ln>
                <a:noFill/>
              </a:ln>
              <a:effectLst/>
            </c:spPr>
            <c:extLst>
              <c:ext xmlns:c16="http://schemas.microsoft.com/office/drawing/2014/chart" uri="{C3380CC4-5D6E-409C-BE32-E72D297353CC}">
                <c16:uniqueId val="{00000003-2814-4392-B83D-B627C6CB1802}"/>
              </c:ext>
            </c:extLst>
          </c:dPt>
          <c:cat>
            <c:strRef>
              <c:f>Sheet1!$A$2:$A$3</c:f>
              <c:strCache>
                <c:ptCount val="2"/>
                <c:pt idx="0">
                  <c:v>pretest</c:v>
                </c:pt>
                <c:pt idx="1">
                  <c:v>post test</c:v>
                </c:pt>
              </c:strCache>
            </c:strRef>
          </c:cat>
          <c:val>
            <c:numRef>
              <c:f>Sheet1!$B$2:$B$3</c:f>
              <c:numCache>
                <c:formatCode>General</c:formatCode>
                <c:ptCount val="2"/>
                <c:pt idx="0">
                  <c:v>59</c:v>
                </c:pt>
                <c:pt idx="1">
                  <c:v>79</c:v>
                </c:pt>
              </c:numCache>
            </c:numRef>
          </c:val>
          <c:extLst>
            <c:ext xmlns:c16="http://schemas.microsoft.com/office/drawing/2014/chart" uri="{C3380CC4-5D6E-409C-BE32-E72D297353CC}">
              <c16:uniqueId val="{00000004-2814-4392-B83D-B627C6CB1802}"/>
            </c:ext>
          </c:extLst>
        </c:ser>
        <c:dLbls>
          <c:showLegendKey val="0"/>
          <c:showVal val="0"/>
          <c:showCatName val="0"/>
          <c:showSerName val="0"/>
          <c:showPercent val="0"/>
          <c:showBubbleSize val="0"/>
        </c:dLbls>
        <c:gapWidth val="150"/>
        <c:overlap val="100"/>
        <c:axId val="100960992"/>
        <c:axId val="266905712"/>
      </c:barChart>
      <c:catAx>
        <c:axId val="100960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6905712"/>
        <c:crosses val="autoZero"/>
        <c:auto val="1"/>
        <c:lblAlgn val="ctr"/>
        <c:lblOffset val="100"/>
        <c:noMultiLvlLbl val="0"/>
      </c:catAx>
      <c:valAx>
        <c:axId val="266905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9609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0.2593</cdr:x>
      <cdr:y>0.45198</cdr:y>
    </cdr:from>
    <cdr:to>
      <cdr:x>0.52095</cdr:x>
      <cdr:y>0.57213</cdr:y>
    </cdr:to>
    <cdr:sp macro="" textlink="">
      <cdr:nvSpPr>
        <cdr:cNvPr id="2" name="Text Box 1"/>
        <cdr:cNvSpPr txBox="1"/>
      </cdr:nvSpPr>
      <cdr:spPr>
        <a:xfrm xmlns:a="http://schemas.openxmlformats.org/drawingml/2006/main">
          <a:off x="884187" y="1052447"/>
          <a:ext cx="892213" cy="279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kern="1200">
              <a:solidFill>
                <a:schemeClr val="bg1"/>
              </a:solidFill>
            </a:rPr>
            <a:t>59 %</a:t>
          </a:r>
        </a:p>
      </cdr:txBody>
    </cdr:sp>
  </cdr:relSizeAnchor>
  <cdr:relSizeAnchor xmlns:cdr="http://schemas.openxmlformats.org/drawingml/2006/chartDrawing">
    <cdr:from>
      <cdr:x>0.64198</cdr:x>
      <cdr:y>0.29436</cdr:y>
    </cdr:from>
    <cdr:to>
      <cdr:x>0.90363</cdr:x>
      <cdr:y>0.41451</cdr:y>
    </cdr:to>
    <cdr:sp macro="" textlink="">
      <cdr:nvSpPr>
        <cdr:cNvPr id="3" name="Text Box 1"/>
        <cdr:cNvSpPr txBox="1"/>
      </cdr:nvSpPr>
      <cdr:spPr>
        <a:xfrm xmlns:a="http://schemas.openxmlformats.org/drawingml/2006/main">
          <a:off x="2189129" y="685431"/>
          <a:ext cx="892214" cy="27977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US" sz="1100" kern="1200">
              <a:solidFill>
                <a:schemeClr val="bg1"/>
              </a:solidFill>
            </a:rPr>
            <a:t>79 %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6650</Words>
  <Characters>37909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 istyan harun</dc:creator>
  <cp:lastModifiedBy>aceral1431pc0g4nxks9sn00334900c034500@outlook.com</cp:lastModifiedBy>
  <cp:revision>12</cp:revision>
  <dcterms:created xsi:type="dcterms:W3CDTF">2025-01-09T11:07:00Z</dcterms:created>
  <dcterms:modified xsi:type="dcterms:W3CDTF">2025-01-30T07:54:00Z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2019-09-28T00:00:00Z</vt:filetime>
  </property>
  <property fmtid="{D5CDD505-2E9C-101B-9397-08002B2CF9AE}" pid="3" name="Creator">
    <vt:lpwstr>Microsoft® Word 2016</vt:lpwstr>
  </property>
  <property fmtid="{D5CDD505-2E9C-101B-9397-08002B2CF9AE}" pid="4" name="LastSaved">
    <vt:filetime>2020-07-10T00:00:00Z</vt:filetime>
  </property>
</Properties>
</file>